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F5C6" w14:textId="2EAB1731" w:rsidR="007C152B" w:rsidRDefault="007C152B" w:rsidP="006459BC">
      <w:pPr>
        <w:spacing w:after="0" w:line="240" w:lineRule="auto"/>
        <w:jc w:val="both"/>
        <w:rPr>
          <w:rFonts w:ascii="Times New Roman" w:eastAsia="Times New Roman" w:hAnsi="Times New Roman" w:cs="Times New Roman"/>
          <w:kern w:val="0"/>
          <w:sz w:val="24"/>
          <w:szCs w:val="24"/>
          <w:lang w:eastAsia="nl-NL"/>
          <w14:ligatures w14:val="none"/>
        </w:rPr>
      </w:pPr>
    </w:p>
    <w:p w14:paraId="069A833D" w14:textId="70A9771A" w:rsidR="00690F44" w:rsidRDefault="00EA6471" w:rsidP="006459BC">
      <w:pPr>
        <w:spacing w:after="0" w:line="240" w:lineRule="auto"/>
        <w:ind w:left="993" w:hanging="993"/>
        <w:jc w:val="both"/>
        <w:rPr>
          <w:rFonts w:eastAsia="Times New Roman" w:cstheme="minorHAnsi"/>
          <w:b/>
          <w:kern w:val="0"/>
          <w:sz w:val="32"/>
          <w:szCs w:val="32"/>
          <w:lang w:eastAsia="nl-NL"/>
          <w14:ligatures w14:val="none"/>
        </w:rPr>
      </w:pPr>
      <w:r w:rsidRPr="00764CE9">
        <w:rPr>
          <w:rFonts w:eastAsia="Times New Roman" w:cstheme="minorHAnsi"/>
          <w:b/>
          <w:kern w:val="0"/>
          <w:sz w:val="32"/>
          <w:szCs w:val="32"/>
          <w:lang w:eastAsia="nl-NL"/>
          <w14:ligatures w14:val="none"/>
        </w:rPr>
        <w:t>Duurzaamheid</w:t>
      </w:r>
      <w:r w:rsidR="00690F44">
        <w:rPr>
          <w:rFonts w:eastAsia="Times New Roman" w:cstheme="minorHAnsi"/>
          <w:b/>
          <w:kern w:val="0"/>
          <w:sz w:val="32"/>
          <w:szCs w:val="32"/>
          <w:lang w:eastAsia="nl-NL"/>
          <w14:ligatures w14:val="none"/>
        </w:rPr>
        <w:t>sbeleid in de portefeuille van</w:t>
      </w:r>
      <w:r w:rsidRPr="00764CE9">
        <w:rPr>
          <w:rFonts w:eastAsia="Times New Roman" w:cstheme="minorHAnsi"/>
          <w:b/>
          <w:kern w:val="0"/>
          <w:sz w:val="32"/>
          <w:szCs w:val="32"/>
          <w:lang w:eastAsia="nl-NL"/>
          <w14:ligatures w14:val="none"/>
        </w:rPr>
        <w:t xml:space="preserve"> </w:t>
      </w:r>
    </w:p>
    <w:p w14:paraId="58A3568F" w14:textId="271E6DCC" w:rsidR="006459BC" w:rsidRDefault="00764CE9" w:rsidP="006459BC">
      <w:pPr>
        <w:spacing w:after="0" w:line="240" w:lineRule="auto"/>
        <w:ind w:left="993" w:hanging="993"/>
        <w:jc w:val="both"/>
        <w:rPr>
          <w:rFonts w:eastAsia="Times New Roman" w:cstheme="minorHAnsi"/>
          <w:b/>
          <w:kern w:val="0"/>
          <w:sz w:val="32"/>
          <w:szCs w:val="32"/>
          <w:lang w:eastAsia="nl-NL"/>
          <w14:ligatures w14:val="none"/>
        </w:rPr>
      </w:pPr>
      <w:r w:rsidRPr="00764CE9">
        <w:rPr>
          <w:rFonts w:eastAsia="Times New Roman" w:cstheme="minorHAnsi"/>
          <w:b/>
          <w:kern w:val="0"/>
          <w:sz w:val="32"/>
          <w:szCs w:val="32"/>
          <w:lang w:eastAsia="nl-NL"/>
          <w14:ligatures w14:val="none"/>
        </w:rPr>
        <w:t>Stichting Pensioenfonds TNO</w:t>
      </w:r>
      <w:r w:rsidR="00690F44">
        <w:rPr>
          <w:rFonts w:eastAsia="Times New Roman" w:cstheme="minorHAnsi"/>
          <w:b/>
          <w:kern w:val="0"/>
          <w:sz w:val="32"/>
          <w:szCs w:val="32"/>
          <w:lang w:eastAsia="nl-NL"/>
          <w14:ligatures w14:val="none"/>
        </w:rPr>
        <w:t xml:space="preserve"> </w:t>
      </w:r>
      <w:r w:rsidR="006B1A17">
        <w:rPr>
          <w:rFonts w:eastAsia="Times New Roman" w:cstheme="minorHAnsi"/>
          <w:b/>
          <w:kern w:val="0"/>
          <w:sz w:val="32"/>
          <w:szCs w:val="32"/>
          <w:lang w:eastAsia="nl-NL"/>
          <w14:ligatures w14:val="none"/>
        </w:rPr>
        <w:t>– Q</w:t>
      </w:r>
      <w:r w:rsidR="00AE60DB">
        <w:rPr>
          <w:rFonts w:eastAsia="Times New Roman" w:cstheme="minorHAnsi"/>
          <w:b/>
          <w:kern w:val="0"/>
          <w:sz w:val="32"/>
          <w:szCs w:val="32"/>
          <w:lang w:eastAsia="nl-NL"/>
          <w14:ligatures w14:val="none"/>
        </w:rPr>
        <w:t>4</w:t>
      </w:r>
      <w:r w:rsidR="004909EA">
        <w:rPr>
          <w:rFonts w:eastAsia="Times New Roman" w:cstheme="minorHAnsi"/>
          <w:b/>
          <w:kern w:val="0"/>
          <w:sz w:val="32"/>
          <w:szCs w:val="32"/>
          <w:lang w:eastAsia="nl-NL"/>
          <w14:ligatures w14:val="none"/>
        </w:rPr>
        <w:t xml:space="preserve"> 202</w:t>
      </w:r>
      <w:r w:rsidR="00AE60DB">
        <w:rPr>
          <w:rFonts w:eastAsia="Times New Roman" w:cstheme="minorHAnsi"/>
          <w:b/>
          <w:kern w:val="0"/>
          <w:sz w:val="32"/>
          <w:szCs w:val="32"/>
          <w:lang w:eastAsia="nl-NL"/>
          <w14:ligatures w14:val="none"/>
        </w:rPr>
        <w:t>5</w:t>
      </w:r>
    </w:p>
    <w:p w14:paraId="3464E3B8" w14:textId="77777777" w:rsidR="004909EA" w:rsidRDefault="004909EA">
      <w:pPr>
        <w:rPr>
          <w:rFonts w:eastAsia="Times New Roman" w:cstheme="minorHAnsi"/>
          <w:b/>
          <w:kern w:val="0"/>
          <w:sz w:val="32"/>
          <w:szCs w:val="32"/>
          <w:lang w:eastAsia="nl-NL"/>
          <w14:ligatures w14:val="none"/>
        </w:rPr>
      </w:pPr>
    </w:p>
    <w:p w14:paraId="7FA2C1AD" w14:textId="64D7B8A7" w:rsidR="004909EA" w:rsidRDefault="004909EA" w:rsidP="004909EA">
      <w:pPr>
        <w:spacing w:after="0" w:line="240" w:lineRule="auto"/>
        <w:rPr>
          <w:rFonts w:eastAsia="Times New Roman" w:cstheme="minorHAnsi"/>
          <w:bCs/>
          <w:kern w:val="0"/>
          <w:sz w:val="24"/>
          <w:szCs w:val="24"/>
          <w:lang w:eastAsia="nl-NL"/>
          <w14:ligatures w14:val="none"/>
        </w:rPr>
      </w:pPr>
      <w:r w:rsidRPr="00BA223B">
        <w:rPr>
          <w:rFonts w:eastAsia="Times New Roman" w:cstheme="minorHAnsi"/>
          <w:bCs/>
          <w:kern w:val="0"/>
          <w:sz w:val="24"/>
          <w:szCs w:val="24"/>
          <w:lang w:eastAsia="nl-NL"/>
          <w14:ligatures w14:val="none"/>
        </w:rPr>
        <w:t xml:space="preserve">Pensioenfonds TNO </w:t>
      </w:r>
      <w:r>
        <w:rPr>
          <w:rFonts w:eastAsia="Times New Roman" w:cstheme="minorHAnsi"/>
          <w:bCs/>
          <w:kern w:val="0"/>
          <w:sz w:val="24"/>
          <w:szCs w:val="24"/>
          <w:lang w:eastAsia="nl-NL"/>
          <w14:ligatures w14:val="none"/>
        </w:rPr>
        <w:t>heeft voor 2023</w:t>
      </w:r>
      <w:r w:rsidR="006F6779">
        <w:rPr>
          <w:rFonts w:eastAsia="Times New Roman" w:cstheme="minorHAnsi"/>
          <w:bCs/>
          <w:kern w:val="0"/>
          <w:sz w:val="24"/>
          <w:szCs w:val="24"/>
          <w:lang w:eastAsia="nl-NL"/>
          <w14:ligatures w14:val="none"/>
        </w:rPr>
        <w:t xml:space="preserve"> </w:t>
      </w:r>
      <w:r>
        <w:rPr>
          <w:rFonts w:eastAsia="Times New Roman" w:cstheme="minorHAnsi"/>
          <w:bCs/>
          <w:kern w:val="0"/>
          <w:sz w:val="24"/>
          <w:szCs w:val="24"/>
          <w:lang w:eastAsia="nl-NL"/>
          <w14:ligatures w14:val="none"/>
        </w:rPr>
        <w:t>- 2025 een strategisch ESG-beleidsplan opgesteld, met drie thema’s:</w:t>
      </w:r>
    </w:p>
    <w:p w14:paraId="5CCB710A" w14:textId="1AFA5F6B" w:rsidR="004909EA" w:rsidRPr="004909EA" w:rsidRDefault="004909EA" w:rsidP="004909EA">
      <w:pPr>
        <w:pStyle w:val="ListParagraph"/>
        <w:numPr>
          <w:ilvl w:val="0"/>
          <w:numId w:val="4"/>
        </w:numPr>
        <w:spacing w:after="0" w:line="240" w:lineRule="auto"/>
        <w:rPr>
          <w:rFonts w:eastAsia="Times New Roman" w:cstheme="minorHAnsi"/>
          <w:bCs/>
          <w:kern w:val="0"/>
          <w:sz w:val="24"/>
          <w:szCs w:val="24"/>
          <w:lang w:eastAsia="nl-NL"/>
          <w14:ligatures w14:val="none"/>
        </w:rPr>
      </w:pPr>
      <w:r w:rsidRPr="004909EA">
        <w:rPr>
          <w:rFonts w:eastAsia="Times New Roman" w:cstheme="minorHAnsi"/>
          <w:bCs/>
          <w:kern w:val="0"/>
          <w:sz w:val="24"/>
          <w:szCs w:val="24"/>
          <w:lang w:eastAsia="nl-NL"/>
          <w14:ligatures w14:val="none"/>
        </w:rPr>
        <w:t>Gezonde samenleving</w:t>
      </w:r>
    </w:p>
    <w:p w14:paraId="21D45696" w14:textId="0C423C03" w:rsidR="004909EA" w:rsidRDefault="004909EA" w:rsidP="004909EA">
      <w:pPr>
        <w:pStyle w:val="ListParagraph"/>
        <w:numPr>
          <w:ilvl w:val="0"/>
          <w:numId w:val="4"/>
        </w:num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Duurzame samenleving</w:t>
      </w:r>
    </w:p>
    <w:p w14:paraId="53AFB2FA" w14:textId="63E1CC39" w:rsidR="006F6779" w:rsidRDefault="006F6779" w:rsidP="004909EA">
      <w:pPr>
        <w:pStyle w:val="ListParagraph"/>
        <w:numPr>
          <w:ilvl w:val="0"/>
          <w:numId w:val="4"/>
        </w:num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Innovatieve samenleving</w:t>
      </w:r>
    </w:p>
    <w:p w14:paraId="73E1D751" w14:textId="77777777" w:rsidR="00FF343B" w:rsidRDefault="00FF343B" w:rsidP="004909EA">
      <w:pPr>
        <w:spacing w:after="0" w:line="240" w:lineRule="auto"/>
        <w:rPr>
          <w:rFonts w:eastAsia="Times New Roman" w:cstheme="minorHAnsi"/>
          <w:bCs/>
          <w:kern w:val="0"/>
          <w:sz w:val="24"/>
          <w:szCs w:val="24"/>
          <w:lang w:eastAsia="nl-NL"/>
          <w14:ligatures w14:val="none"/>
        </w:rPr>
      </w:pPr>
    </w:p>
    <w:p w14:paraId="714BF02B" w14:textId="03EDE5D9" w:rsidR="00F57CDD" w:rsidRDefault="00FF343B" w:rsidP="00F57CDD">
      <w:pPr>
        <w:spacing w:after="0" w:line="240" w:lineRule="auto"/>
        <w:rPr>
          <w:rFonts w:eastAsia="Times New Roman" w:cstheme="minorHAnsi"/>
          <w:bCs/>
          <w:kern w:val="0"/>
          <w:sz w:val="24"/>
          <w:szCs w:val="24"/>
          <w:lang w:eastAsia="nl-NL"/>
          <w14:ligatures w14:val="none"/>
        </w:rPr>
      </w:pPr>
      <w:proofErr w:type="gramStart"/>
      <w:r>
        <w:rPr>
          <w:rFonts w:eastAsia="Times New Roman" w:cstheme="minorHAnsi"/>
          <w:bCs/>
          <w:kern w:val="0"/>
          <w:sz w:val="24"/>
          <w:szCs w:val="24"/>
          <w:lang w:eastAsia="nl-NL"/>
          <w14:ligatures w14:val="none"/>
        </w:rPr>
        <w:t>resulterend</w:t>
      </w:r>
      <w:proofErr w:type="gramEnd"/>
      <w:r>
        <w:rPr>
          <w:rFonts w:eastAsia="Times New Roman" w:cstheme="minorHAnsi"/>
          <w:bCs/>
          <w:kern w:val="0"/>
          <w:sz w:val="24"/>
          <w:szCs w:val="24"/>
          <w:lang w:eastAsia="nl-NL"/>
          <w14:ligatures w14:val="none"/>
        </w:rPr>
        <w:t xml:space="preserve"> in</w:t>
      </w:r>
      <w:r w:rsidR="004909EA">
        <w:rPr>
          <w:rFonts w:eastAsia="Times New Roman" w:cstheme="minorHAnsi"/>
          <w:bCs/>
          <w:kern w:val="0"/>
          <w:sz w:val="24"/>
          <w:szCs w:val="24"/>
          <w:lang w:eastAsia="nl-NL"/>
          <w14:ligatures w14:val="none"/>
        </w:rPr>
        <w:t xml:space="preserve"> de volgende doel</w:t>
      </w:r>
      <w:r w:rsidR="00F57CDD">
        <w:rPr>
          <w:rFonts w:eastAsia="Times New Roman" w:cstheme="minorHAnsi"/>
          <w:bCs/>
          <w:kern w:val="0"/>
          <w:sz w:val="24"/>
          <w:szCs w:val="24"/>
          <w:lang w:eastAsia="nl-NL"/>
          <w14:ligatures w14:val="none"/>
        </w:rPr>
        <w:t>stellingen:</w:t>
      </w:r>
    </w:p>
    <w:p w14:paraId="21AB6EA1" w14:textId="2007C3A7" w:rsidR="004909EA" w:rsidRPr="00F57CDD" w:rsidRDefault="004909EA" w:rsidP="00F57CDD">
      <w:pPr>
        <w:pStyle w:val="ListParagraph"/>
        <w:numPr>
          <w:ilvl w:val="0"/>
          <w:numId w:val="8"/>
        </w:numPr>
        <w:spacing w:after="0" w:line="240" w:lineRule="auto"/>
        <w:rPr>
          <w:rFonts w:eastAsia="Times New Roman" w:cstheme="minorHAnsi"/>
          <w:bCs/>
          <w:kern w:val="0"/>
          <w:sz w:val="24"/>
          <w:szCs w:val="24"/>
          <w:lang w:eastAsia="nl-NL"/>
          <w14:ligatures w14:val="none"/>
        </w:rPr>
      </w:pPr>
      <w:r w:rsidRPr="00F57CDD">
        <w:rPr>
          <w:rFonts w:eastAsia="Times New Roman" w:cstheme="minorHAnsi"/>
          <w:bCs/>
          <w:kern w:val="0"/>
          <w:sz w:val="24"/>
          <w:szCs w:val="24"/>
          <w:lang w:eastAsia="nl-NL"/>
          <w14:ligatures w14:val="none"/>
        </w:rPr>
        <w:t>De beleggingsportefeuille moet voldoen aan de Global Compact Princip</w:t>
      </w:r>
      <w:r w:rsidR="00FF343B" w:rsidRPr="00F57CDD">
        <w:rPr>
          <w:rFonts w:eastAsia="Times New Roman" w:cstheme="minorHAnsi"/>
          <w:bCs/>
          <w:kern w:val="0"/>
          <w:sz w:val="24"/>
          <w:szCs w:val="24"/>
          <w:lang w:eastAsia="nl-NL"/>
          <w14:ligatures w14:val="none"/>
        </w:rPr>
        <w:t>es</w:t>
      </w:r>
      <w:r w:rsidRPr="00F57CDD">
        <w:rPr>
          <w:rFonts w:eastAsia="Times New Roman" w:cstheme="minorHAnsi"/>
          <w:bCs/>
          <w:kern w:val="0"/>
          <w:sz w:val="24"/>
          <w:szCs w:val="24"/>
          <w:lang w:eastAsia="nl-NL"/>
          <w14:ligatures w14:val="none"/>
        </w:rPr>
        <w:t xml:space="preserve"> van de Verenigde Naties en de OESO-richtlijnen.</w:t>
      </w:r>
    </w:p>
    <w:p w14:paraId="059C01E4" w14:textId="38D2D277" w:rsidR="004909EA" w:rsidRPr="004909EA" w:rsidRDefault="004909EA">
      <w:pPr>
        <w:pStyle w:val="ListParagraph"/>
        <w:numPr>
          <w:ilvl w:val="0"/>
          <w:numId w:val="5"/>
        </w:numPr>
        <w:spacing w:after="0" w:line="240" w:lineRule="auto"/>
        <w:rPr>
          <w:rFonts w:eastAsia="Times New Roman" w:cstheme="minorHAnsi"/>
          <w:bCs/>
          <w:kern w:val="0"/>
          <w:sz w:val="24"/>
          <w:szCs w:val="24"/>
          <w:lang w:eastAsia="nl-NL"/>
          <w14:ligatures w14:val="none"/>
        </w:rPr>
      </w:pPr>
      <w:r w:rsidRPr="004909EA">
        <w:rPr>
          <w:rFonts w:eastAsia="Times New Roman" w:cstheme="minorHAnsi"/>
          <w:bCs/>
          <w:kern w:val="0"/>
          <w:sz w:val="24"/>
          <w:szCs w:val="24"/>
          <w:lang w:eastAsia="nl-NL"/>
          <w14:ligatures w14:val="none"/>
        </w:rPr>
        <w:t>De beleggingsportefeuille moet uiterlijk in 2050 klimaatneutraal zijn.</w:t>
      </w:r>
    </w:p>
    <w:p w14:paraId="621A3699" w14:textId="49CDE392" w:rsidR="004909EA" w:rsidRPr="004909EA" w:rsidRDefault="004909EA" w:rsidP="004909EA">
      <w:pPr>
        <w:pStyle w:val="ListParagraph"/>
        <w:numPr>
          <w:ilvl w:val="0"/>
          <w:numId w:val="5"/>
        </w:numPr>
        <w:spacing w:after="0" w:line="240" w:lineRule="auto"/>
        <w:rPr>
          <w:rFonts w:eastAsia="Times New Roman" w:cstheme="minorHAnsi"/>
          <w:bCs/>
          <w:kern w:val="0"/>
          <w:sz w:val="24"/>
          <w:szCs w:val="24"/>
          <w:lang w:eastAsia="nl-NL"/>
          <w14:ligatures w14:val="none"/>
        </w:rPr>
      </w:pPr>
      <w:r w:rsidRPr="004909EA">
        <w:rPr>
          <w:rFonts w:eastAsia="Times New Roman" w:cstheme="minorHAnsi"/>
          <w:bCs/>
          <w:kern w:val="0"/>
          <w:sz w:val="24"/>
          <w:szCs w:val="24"/>
          <w:lang w:eastAsia="nl-NL"/>
          <w14:ligatures w14:val="none"/>
        </w:rPr>
        <w:t>De beleggingen moeten een positieve bijdrage leveren aan drie</w:t>
      </w:r>
      <w:r>
        <w:rPr>
          <w:rFonts w:eastAsia="Times New Roman" w:cstheme="minorHAnsi"/>
          <w:bCs/>
          <w:kern w:val="0"/>
          <w:sz w:val="24"/>
          <w:szCs w:val="24"/>
          <w:lang w:eastAsia="nl-NL"/>
          <w14:ligatures w14:val="none"/>
        </w:rPr>
        <w:t xml:space="preserve"> genoemde </w:t>
      </w:r>
      <w:r w:rsidRPr="004909EA">
        <w:rPr>
          <w:rFonts w:eastAsia="Times New Roman" w:cstheme="minorHAnsi"/>
          <w:bCs/>
          <w:kern w:val="0"/>
          <w:sz w:val="24"/>
          <w:szCs w:val="24"/>
          <w:lang w:eastAsia="nl-NL"/>
          <w14:ligatures w14:val="none"/>
        </w:rPr>
        <w:t>thema’s</w:t>
      </w:r>
      <w:r>
        <w:rPr>
          <w:rFonts w:eastAsia="Times New Roman" w:cstheme="minorHAnsi"/>
          <w:bCs/>
          <w:kern w:val="0"/>
          <w:sz w:val="24"/>
          <w:szCs w:val="24"/>
          <w:lang w:eastAsia="nl-NL"/>
          <w14:ligatures w14:val="none"/>
        </w:rPr>
        <w:t xml:space="preserve">. </w:t>
      </w:r>
    </w:p>
    <w:p w14:paraId="22AD88CA" w14:textId="24C3C095" w:rsidR="004909EA" w:rsidRPr="004909EA" w:rsidRDefault="004909EA" w:rsidP="004909EA">
      <w:pPr>
        <w:pStyle w:val="ListParagraph"/>
        <w:numPr>
          <w:ilvl w:val="0"/>
          <w:numId w:val="5"/>
        </w:numPr>
        <w:spacing w:after="0" w:line="240" w:lineRule="auto"/>
        <w:rPr>
          <w:rFonts w:eastAsia="Times New Roman" w:cstheme="minorHAnsi"/>
          <w:bCs/>
          <w:kern w:val="0"/>
          <w:sz w:val="24"/>
          <w:szCs w:val="24"/>
          <w:lang w:eastAsia="nl-NL"/>
          <w14:ligatures w14:val="none"/>
        </w:rPr>
      </w:pPr>
      <w:r w:rsidRPr="004909EA">
        <w:rPr>
          <w:rFonts w:eastAsia="Times New Roman" w:cstheme="minorHAnsi"/>
          <w:bCs/>
          <w:kern w:val="0"/>
          <w:sz w:val="24"/>
          <w:szCs w:val="24"/>
          <w:lang w:eastAsia="nl-NL"/>
          <w14:ligatures w14:val="none"/>
        </w:rPr>
        <w:t xml:space="preserve">De beleggingsportefeuille moet een afspiegeling zijn van de voorkeuren van de </w:t>
      </w:r>
    </w:p>
    <w:p w14:paraId="766574DD" w14:textId="04BFCDFA" w:rsidR="004909EA" w:rsidRPr="004909EA" w:rsidRDefault="004909EA" w:rsidP="004909EA">
      <w:pPr>
        <w:pStyle w:val="ListParagraph"/>
        <w:spacing w:after="0" w:line="240" w:lineRule="auto"/>
        <w:rPr>
          <w:rFonts w:eastAsia="Times New Roman" w:cstheme="minorHAnsi"/>
          <w:bCs/>
          <w:kern w:val="0"/>
          <w:sz w:val="24"/>
          <w:szCs w:val="24"/>
          <w:lang w:eastAsia="nl-NL"/>
          <w14:ligatures w14:val="none"/>
        </w:rPr>
      </w:pPr>
      <w:r w:rsidRPr="004909EA">
        <w:rPr>
          <w:rFonts w:eastAsia="Times New Roman" w:cstheme="minorHAnsi"/>
          <w:bCs/>
          <w:kern w:val="0"/>
          <w:sz w:val="24"/>
          <w:szCs w:val="24"/>
          <w:lang w:eastAsia="nl-NL"/>
          <w14:ligatures w14:val="none"/>
        </w:rPr>
        <w:t>(</w:t>
      </w:r>
      <w:proofErr w:type="gramStart"/>
      <w:r w:rsidRPr="004909EA">
        <w:rPr>
          <w:rFonts w:eastAsia="Times New Roman" w:cstheme="minorHAnsi"/>
          <w:bCs/>
          <w:kern w:val="0"/>
          <w:sz w:val="24"/>
          <w:szCs w:val="24"/>
          <w:lang w:eastAsia="nl-NL"/>
          <w14:ligatures w14:val="none"/>
        </w:rPr>
        <w:t>gewezen</w:t>
      </w:r>
      <w:proofErr w:type="gramEnd"/>
      <w:r w:rsidRPr="004909EA">
        <w:rPr>
          <w:rFonts w:eastAsia="Times New Roman" w:cstheme="minorHAnsi"/>
          <w:bCs/>
          <w:kern w:val="0"/>
          <w:sz w:val="24"/>
          <w:szCs w:val="24"/>
          <w:lang w:eastAsia="nl-NL"/>
          <w14:ligatures w14:val="none"/>
        </w:rPr>
        <w:t>) deelnemers en de opvattingen van de samenleving over ESG-gerelateerde thema’s.</w:t>
      </w:r>
    </w:p>
    <w:p w14:paraId="2D412711" w14:textId="4D4DABFD" w:rsidR="004909EA" w:rsidRPr="004909EA" w:rsidRDefault="004909EA" w:rsidP="004909EA">
      <w:pPr>
        <w:pStyle w:val="ListParagraph"/>
        <w:numPr>
          <w:ilvl w:val="0"/>
          <w:numId w:val="5"/>
        </w:numPr>
        <w:spacing w:after="0" w:line="240" w:lineRule="auto"/>
        <w:rPr>
          <w:rFonts w:eastAsia="Times New Roman" w:cstheme="minorHAnsi"/>
          <w:bCs/>
          <w:kern w:val="0"/>
          <w:sz w:val="24"/>
          <w:szCs w:val="24"/>
          <w:lang w:eastAsia="nl-NL"/>
          <w14:ligatures w14:val="none"/>
        </w:rPr>
      </w:pPr>
      <w:r w:rsidRPr="004909EA">
        <w:rPr>
          <w:rFonts w:eastAsia="Times New Roman" w:cstheme="minorHAnsi"/>
          <w:bCs/>
          <w:kern w:val="0"/>
          <w:sz w:val="24"/>
          <w:szCs w:val="24"/>
          <w:lang w:eastAsia="nl-NL"/>
          <w14:ligatures w14:val="none"/>
        </w:rPr>
        <w:t xml:space="preserve">Bij beleggingen moet rekening gehouden worden met alle ESG-risico’s die </w:t>
      </w:r>
    </w:p>
    <w:p w14:paraId="7B3AF63E" w14:textId="013B1AC3" w:rsidR="004909EA" w:rsidRDefault="004909EA" w:rsidP="004909EA">
      <w:pPr>
        <w:pStyle w:val="ListParagraph"/>
        <w:spacing w:after="0" w:line="240" w:lineRule="auto"/>
        <w:rPr>
          <w:rFonts w:eastAsia="Times New Roman" w:cstheme="minorHAnsi"/>
          <w:bCs/>
          <w:kern w:val="0"/>
          <w:sz w:val="24"/>
          <w:szCs w:val="24"/>
          <w:lang w:eastAsia="nl-NL"/>
          <w14:ligatures w14:val="none"/>
        </w:rPr>
      </w:pPr>
      <w:proofErr w:type="gramStart"/>
      <w:r w:rsidRPr="004909EA">
        <w:rPr>
          <w:rFonts w:eastAsia="Times New Roman" w:cstheme="minorHAnsi"/>
          <w:bCs/>
          <w:kern w:val="0"/>
          <w:sz w:val="24"/>
          <w:szCs w:val="24"/>
          <w:lang w:eastAsia="nl-NL"/>
          <w14:ligatures w14:val="none"/>
        </w:rPr>
        <w:t>impact</w:t>
      </w:r>
      <w:proofErr w:type="gramEnd"/>
      <w:r w:rsidRPr="004909EA">
        <w:rPr>
          <w:rFonts w:eastAsia="Times New Roman" w:cstheme="minorHAnsi"/>
          <w:bCs/>
          <w:kern w:val="0"/>
          <w:sz w:val="24"/>
          <w:szCs w:val="24"/>
          <w:lang w:eastAsia="nl-NL"/>
          <w14:ligatures w14:val="none"/>
        </w:rPr>
        <w:t xml:space="preserve"> hebben op het </w:t>
      </w:r>
      <w:proofErr w:type="spellStart"/>
      <w:r w:rsidRPr="004909EA">
        <w:rPr>
          <w:rFonts w:eastAsia="Times New Roman" w:cstheme="minorHAnsi"/>
          <w:bCs/>
          <w:kern w:val="0"/>
          <w:sz w:val="24"/>
          <w:szCs w:val="24"/>
          <w:lang w:eastAsia="nl-NL"/>
          <w14:ligatures w14:val="none"/>
        </w:rPr>
        <w:t>langetermijnrisicoprofiel</w:t>
      </w:r>
      <w:proofErr w:type="spellEnd"/>
      <w:r w:rsidR="00FF343B">
        <w:rPr>
          <w:rFonts w:eastAsia="Times New Roman" w:cstheme="minorHAnsi"/>
          <w:bCs/>
          <w:kern w:val="0"/>
          <w:sz w:val="24"/>
          <w:szCs w:val="24"/>
          <w:lang w:eastAsia="nl-NL"/>
          <w14:ligatures w14:val="none"/>
        </w:rPr>
        <w:t>.</w:t>
      </w:r>
    </w:p>
    <w:p w14:paraId="45DD7448" w14:textId="77777777" w:rsidR="00F57CDD" w:rsidRPr="004909EA" w:rsidRDefault="00F57CDD" w:rsidP="004909EA">
      <w:pPr>
        <w:pStyle w:val="ListParagraph"/>
        <w:spacing w:after="0" w:line="240" w:lineRule="auto"/>
        <w:rPr>
          <w:rFonts w:eastAsia="Times New Roman" w:cstheme="minorHAnsi"/>
          <w:bCs/>
          <w:kern w:val="0"/>
          <w:sz w:val="24"/>
          <w:szCs w:val="24"/>
          <w:lang w:eastAsia="nl-NL"/>
          <w14:ligatures w14:val="none"/>
        </w:rPr>
      </w:pPr>
    </w:p>
    <w:p w14:paraId="189CC746" w14:textId="66F08417" w:rsidR="008240F4" w:rsidRDefault="00790456" w:rsidP="004909EA">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Implementatie van het beleid gaat enerzijds via uitsluitingen, engagement en </w:t>
      </w:r>
      <w:proofErr w:type="spellStart"/>
      <w:r>
        <w:rPr>
          <w:rFonts w:eastAsia="Times New Roman" w:cstheme="minorHAnsi"/>
          <w:bCs/>
          <w:kern w:val="0"/>
          <w:sz w:val="24"/>
          <w:szCs w:val="24"/>
          <w:lang w:eastAsia="nl-NL"/>
          <w14:ligatures w14:val="none"/>
        </w:rPr>
        <w:t>voting</w:t>
      </w:r>
      <w:proofErr w:type="spellEnd"/>
      <w:r>
        <w:rPr>
          <w:rFonts w:eastAsia="Times New Roman" w:cstheme="minorHAnsi"/>
          <w:bCs/>
          <w:kern w:val="0"/>
          <w:sz w:val="24"/>
          <w:szCs w:val="24"/>
          <w:lang w:eastAsia="nl-NL"/>
          <w14:ligatures w14:val="none"/>
        </w:rPr>
        <w:t>.</w:t>
      </w:r>
    </w:p>
    <w:p w14:paraId="49506346" w14:textId="24AF0F69" w:rsidR="00790456" w:rsidRDefault="00790456" w:rsidP="004909EA">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Daarnaast willen we via impactbeleggen positief bijdragen aan de verschillende </w:t>
      </w:r>
      <w:r w:rsidR="00AE60DB">
        <w:rPr>
          <w:rFonts w:eastAsia="Times New Roman" w:cstheme="minorHAnsi"/>
          <w:bCs/>
          <w:kern w:val="0"/>
          <w:sz w:val="24"/>
          <w:szCs w:val="24"/>
          <w:lang w:eastAsia="nl-NL"/>
          <w14:ligatures w14:val="none"/>
        </w:rPr>
        <w:t>ESG-doelstellingen</w:t>
      </w:r>
      <w:r>
        <w:rPr>
          <w:rFonts w:eastAsia="Times New Roman" w:cstheme="minorHAnsi"/>
          <w:bCs/>
          <w:kern w:val="0"/>
          <w:sz w:val="24"/>
          <w:szCs w:val="24"/>
          <w:lang w:eastAsia="nl-NL"/>
          <w14:ligatures w14:val="none"/>
        </w:rPr>
        <w:t>. Om na te gaan of we op het goede pad zitten om de portefeuille klimaatneutraal te maken, meten we de CO</w:t>
      </w:r>
      <w:r w:rsidRPr="00790456">
        <w:rPr>
          <w:rFonts w:eastAsia="Times New Roman" w:cstheme="minorHAnsi"/>
          <w:bCs/>
          <w:kern w:val="0"/>
          <w:sz w:val="24"/>
          <w:szCs w:val="24"/>
          <w:vertAlign w:val="subscript"/>
          <w:lang w:eastAsia="nl-NL"/>
          <w14:ligatures w14:val="none"/>
        </w:rPr>
        <w:t>2</w:t>
      </w:r>
      <w:r>
        <w:rPr>
          <w:rFonts w:eastAsia="Times New Roman" w:cstheme="minorHAnsi"/>
          <w:bCs/>
          <w:kern w:val="0"/>
          <w:sz w:val="24"/>
          <w:szCs w:val="24"/>
          <w:lang w:eastAsia="nl-NL"/>
          <w14:ligatures w14:val="none"/>
        </w:rPr>
        <w:t>-uitstoot op verschillende niveaus.</w:t>
      </w:r>
      <w:r>
        <w:rPr>
          <w:rFonts w:eastAsia="Times New Roman" w:cstheme="minorHAnsi"/>
          <w:bCs/>
          <w:kern w:val="0"/>
          <w:sz w:val="24"/>
          <w:szCs w:val="24"/>
          <w:vertAlign w:val="subscript"/>
          <w:lang w:eastAsia="nl-NL"/>
          <w14:ligatures w14:val="none"/>
        </w:rPr>
        <w:t xml:space="preserve"> </w:t>
      </w:r>
    </w:p>
    <w:p w14:paraId="50119B84" w14:textId="77777777" w:rsidR="00790456" w:rsidRDefault="00790456" w:rsidP="004909EA">
      <w:pPr>
        <w:spacing w:after="0" w:line="240" w:lineRule="auto"/>
        <w:rPr>
          <w:rFonts w:eastAsia="Times New Roman" w:cstheme="minorHAnsi"/>
          <w:bCs/>
          <w:kern w:val="0"/>
          <w:sz w:val="24"/>
          <w:szCs w:val="24"/>
          <w:lang w:eastAsia="nl-NL"/>
          <w14:ligatures w14:val="none"/>
        </w:rPr>
      </w:pPr>
    </w:p>
    <w:p w14:paraId="524CB4F9" w14:textId="7463A102" w:rsidR="00790456" w:rsidRDefault="00790456" w:rsidP="004909EA">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In dit kwartaaloverzicht staat de laatste stand van zaken op de bovenstaande </w:t>
      </w:r>
      <w:r w:rsidR="00BD59DD">
        <w:rPr>
          <w:rFonts w:eastAsia="Times New Roman" w:cstheme="minorHAnsi"/>
          <w:bCs/>
          <w:kern w:val="0"/>
          <w:sz w:val="24"/>
          <w:szCs w:val="24"/>
          <w:lang w:eastAsia="nl-NL"/>
          <w14:ligatures w14:val="none"/>
        </w:rPr>
        <w:t>onderwerpen.</w:t>
      </w:r>
    </w:p>
    <w:p w14:paraId="18C8087D" w14:textId="77777777" w:rsidR="00AE60DB" w:rsidRDefault="00AE60DB" w:rsidP="004909EA">
      <w:pPr>
        <w:spacing w:after="0" w:line="240" w:lineRule="auto"/>
        <w:rPr>
          <w:rFonts w:eastAsia="Times New Roman" w:cstheme="minorHAnsi"/>
          <w:bCs/>
          <w:kern w:val="0"/>
          <w:sz w:val="24"/>
          <w:szCs w:val="24"/>
          <w:lang w:eastAsia="nl-NL"/>
          <w14:ligatures w14:val="none"/>
        </w:rPr>
      </w:pPr>
    </w:p>
    <w:p w14:paraId="3CC6FE69" w14:textId="7F44A03F" w:rsidR="00AE60DB" w:rsidRDefault="00AE60DB" w:rsidP="004909EA">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Er is besloten het huidige ESG-beleidsplan te continueren in 2026, totdat op basis van een in februari 2026 te houden ESG-deelnemersonderzoek is uitgevoerd, dat richting gaat geven aan het duurzaamheidsbeleid van het pensioenfonds.</w:t>
      </w:r>
    </w:p>
    <w:p w14:paraId="68F9D531" w14:textId="77777777" w:rsidR="00AE60DB" w:rsidRDefault="00AE60DB">
      <w:pPr>
        <w:rPr>
          <w:rFonts w:eastAsia="Times New Roman" w:cstheme="minorHAnsi"/>
          <w:bCs/>
          <w:kern w:val="0"/>
          <w:sz w:val="24"/>
          <w:szCs w:val="24"/>
          <w:lang w:eastAsia="nl-NL"/>
          <w14:ligatures w14:val="none"/>
        </w:rPr>
      </w:pPr>
    </w:p>
    <w:p w14:paraId="3D85D067" w14:textId="327CB8EA" w:rsidR="004909EA" w:rsidRDefault="004909EA">
      <w:pPr>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br w:type="page"/>
      </w:r>
    </w:p>
    <w:p w14:paraId="59EBAB77" w14:textId="77777777" w:rsidR="004B2351" w:rsidRDefault="004B2351" w:rsidP="004B2351">
      <w:pPr>
        <w:spacing w:after="0" w:line="240" w:lineRule="auto"/>
        <w:jc w:val="both"/>
        <w:rPr>
          <w:rFonts w:eastAsia="Times New Roman" w:cstheme="minorHAnsi"/>
          <w:b/>
          <w:kern w:val="0"/>
          <w:sz w:val="28"/>
          <w:szCs w:val="28"/>
          <w:u w:val="single"/>
          <w:lang w:eastAsia="nl-NL"/>
          <w14:ligatures w14:val="none"/>
        </w:rPr>
      </w:pPr>
      <w:bookmarkStart w:id="0" w:name="_Hlk160523788"/>
    </w:p>
    <w:p w14:paraId="651B413C" w14:textId="3FDB44D0" w:rsidR="004B2351" w:rsidRDefault="004B2351" w:rsidP="004B2351">
      <w:pPr>
        <w:spacing w:after="0" w:line="240" w:lineRule="auto"/>
        <w:jc w:val="both"/>
        <w:rPr>
          <w:rFonts w:eastAsia="Times New Roman" w:cstheme="minorHAnsi"/>
          <w:b/>
          <w:kern w:val="0"/>
          <w:sz w:val="28"/>
          <w:szCs w:val="28"/>
          <w:u w:val="single"/>
          <w:lang w:eastAsia="nl-NL"/>
          <w14:ligatures w14:val="none"/>
        </w:rPr>
      </w:pPr>
      <w:r>
        <w:rPr>
          <w:rFonts w:eastAsia="Times New Roman" w:cstheme="minorHAnsi"/>
          <w:b/>
          <w:kern w:val="0"/>
          <w:sz w:val="28"/>
          <w:szCs w:val="28"/>
          <w:u w:val="single"/>
          <w:lang w:eastAsia="nl-NL"/>
          <w14:ligatures w14:val="none"/>
        </w:rPr>
        <w:t>Impactbeleggingen in de beleggingsportefeuille</w:t>
      </w:r>
    </w:p>
    <w:p w14:paraId="35664914" w14:textId="77777777" w:rsidR="004B2351" w:rsidRDefault="004B2351" w:rsidP="004B2351">
      <w:pPr>
        <w:spacing w:after="0" w:line="240" w:lineRule="auto"/>
        <w:jc w:val="both"/>
        <w:rPr>
          <w:rFonts w:eastAsia="Times New Roman" w:cstheme="minorHAnsi"/>
          <w:b/>
          <w:kern w:val="0"/>
          <w:sz w:val="28"/>
          <w:szCs w:val="28"/>
          <w:u w:val="single"/>
          <w:lang w:eastAsia="nl-NL"/>
          <w14:ligatures w14:val="none"/>
        </w:rPr>
      </w:pPr>
    </w:p>
    <w:p w14:paraId="72E47A82" w14:textId="1CC72A97" w:rsidR="00DB5E3D" w:rsidRPr="00401EB6" w:rsidRDefault="004B2351" w:rsidP="00F64AB6">
      <w:pPr>
        <w:spacing w:after="0"/>
        <w:contextualSpacing/>
        <w:rPr>
          <w:rFonts w:eastAsia="Times New Roman" w:cs="Times New Roman"/>
          <w:sz w:val="24"/>
          <w:szCs w:val="24"/>
          <w:lang w:eastAsia="nl-NL"/>
        </w:rPr>
      </w:pPr>
      <w:r w:rsidRPr="00401EB6">
        <w:rPr>
          <w:rFonts w:eastAsia="Times New Roman" w:cs="Times New Roman"/>
          <w:sz w:val="24"/>
          <w:szCs w:val="24"/>
          <w:lang w:eastAsia="nl-NL"/>
        </w:rPr>
        <w:t xml:space="preserve">Het investeren in beleggingen die positief bijdragen </w:t>
      </w:r>
      <w:r w:rsidR="00DB5E3D" w:rsidRPr="00401EB6">
        <w:rPr>
          <w:rFonts w:eastAsia="Times New Roman" w:cs="Times New Roman"/>
          <w:sz w:val="24"/>
          <w:szCs w:val="24"/>
          <w:lang w:eastAsia="nl-NL"/>
        </w:rPr>
        <w:t>aan onze ESG-doelstellingen</w:t>
      </w:r>
      <w:r w:rsidR="00AE60DB">
        <w:rPr>
          <w:rFonts w:eastAsia="Times New Roman" w:cs="Times New Roman"/>
          <w:sz w:val="24"/>
          <w:szCs w:val="24"/>
          <w:lang w:eastAsia="nl-NL"/>
        </w:rPr>
        <w:t xml:space="preserve"> </w:t>
      </w:r>
      <w:r w:rsidRPr="00401EB6">
        <w:rPr>
          <w:rFonts w:eastAsia="Times New Roman" w:cs="Times New Roman"/>
          <w:sz w:val="24"/>
          <w:szCs w:val="24"/>
          <w:lang w:eastAsia="nl-NL"/>
        </w:rPr>
        <w:t xml:space="preserve">(impact </w:t>
      </w:r>
      <w:proofErr w:type="spellStart"/>
      <w:r w:rsidRPr="00401EB6">
        <w:rPr>
          <w:rFonts w:eastAsia="Times New Roman" w:cs="Times New Roman"/>
          <w:sz w:val="24"/>
          <w:szCs w:val="24"/>
          <w:lang w:eastAsia="nl-NL"/>
        </w:rPr>
        <w:t>investments</w:t>
      </w:r>
      <w:proofErr w:type="spellEnd"/>
      <w:r w:rsidRPr="00401EB6">
        <w:rPr>
          <w:rFonts w:eastAsia="Times New Roman" w:cs="Times New Roman"/>
          <w:sz w:val="24"/>
          <w:szCs w:val="24"/>
          <w:lang w:eastAsia="nl-NL"/>
        </w:rPr>
        <w:t>)</w:t>
      </w:r>
      <w:r w:rsidRPr="00401EB6">
        <w:rPr>
          <w:rStyle w:val="FootnoteReference"/>
          <w:rFonts w:eastAsia="Times New Roman" w:cs="Times New Roman"/>
          <w:sz w:val="24"/>
          <w:szCs w:val="24"/>
          <w:lang w:eastAsia="nl-NL"/>
        </w:rPr>
        <w:footnoteReference w:id="1"/>
      </w:r>
      <w:r w:rsidRPr="00401EB6">
        <w:rPr>
          <w:rFonts w:eastAsia="Times New Roman" w:cs="Times New Roman"/>
          <w:sz w:val="24"/>
          <w:szCs w:val="24"/>
          <w:lang w:eastAsia="nl-NL"/>
        </w:rPr>
        <w:t xml:space="preserve"> vinden we over het algemeen terug in niet-beursgenoteerde beleggingsinstrumenten.</w:t>
      </w:r>
      <w:r w:rsidR="00DB5E3D" w:rsidRPr="00401EB6">
        <w:rPr>
          <w:rFonts w:eastAsia="Times New Roman" w:cs="Times New Roman"/>
          <w:sz w:val="24"/>
          <w:szCs w:val="24"/>
          <w:lang w:eastAsia="nl-NL"/>
        </w:rPr>
        <w:t xml:space="preserve"> </w:t>
      </w:r>
    </w:p>
    <w:p w14:paraId="2F20C379" w14:textId="7E21B208" w:rsidR="00DB5E3D" w:rsidRPr="00401EB6" w:rsidRDefault="00DB5E3D" w:rsidP="00F64AB6">
      <w:pPr>
        <w:spacing w:after="0"/>
        <w:contextualSpacing/>
        <w:rPr>
          <w:rFonts w:eastAsia="Times New Roman" w:cs="Times New Roman"/>
          <w:sz w:val="24"/>
          <w:szCs w:val="24"/>
          <w:lang w:eastAsia="nl-NL"/>
        </w:rPr>
      </w:pPr>
      <w:r w:rsidRPr="00401EB6">
        <w:rPr>
          <w:rFonts w:eastAsia="Times New Roman" w:cs="Times New Roman"/>
          <w:sz w:val="24"/>
          <w:szCs w:val="24"/>
          <w:lang w:eastAsia="nl-NL"/>
        </w:rPr>
        <w:t xml:space="preserve">We beleggen in de categorie vastgoed in seniorenwoningen en via private </w:t>
      </w:r>
      <w:proofErr w:type="spellStart"/>
      <w:r w:rsidRPr="00401EB6">
        <w:rPr>
          <w:rFonts w:eastAsia="Times New Roman" w:cs="Times New Roman"/>
          <w:sz w:val="24"/>
          <w:szCs w:val="24"/>
          <w:lang w:eastAsia="nl-NL"/>
        </w:rPr>
        <w:t>equity</w:t>
      </w:r>
      <w:proofErr w:type="spellEnd"/>
      <w:r w:rsidRPr="00401EB6">
        <w:rPr>
          <w:rFonts w:eastAsia="Times New Roman" w:cs="Times New Roman"/>
          <w:sz w:val="24"/>
          <w:szCs w:val="24"/>
          <w:lang w:eastAsia="nl-NL"/>
        </w:rPr>
        <w:t xml:space="preserve"> beleggingen in innovatieve ondernemingen die </w:t>
      </w:r>
      <w:r w:rsidR="00F64AB6" w:rsidRPr="00401EB6">
        <w:rPr>
          <w:rFonts w:eastAsia="Times New Roman" w:cs="Times New Roman"/>
          <w:sz w:val="24"/>
          <w:szCs w:val="24"/>
          <w:lang w:eastAsia="nl-NL"/>
        </w:rPr>
        <w:t>zich richten op het ontwikkelen van nieuwe medicatie.</w:t>
      </w:r>
    </w:p>
    <w:p w14:paraId="43289BA5" w14:textId="77777777" w:rsidR="00F64AB6" w:rsidRPr="00401EB6" w:rsidRDefault="00F64AB6" w:rsidP="00F64AB6">
      <w:pPr>
        <w:spacing w:after="0"/>
        <w:contextualSpacing/>
        <w:rPr>
          <w:rFonts w:eastAsia="Times New Roman" w:cs="Times New Roman"/>
          <w:sz w:val="24"/>
          <w:szCs w:val="24"/>
          <w:lang w:eastAsia="nl-NL"/>
        </w:rPr>
      </w:pPr>
    </w:p>
    <w:p w14:paraId="14E6A5BD" w14:textId="1FB99EE0" w:rsidR="00DB5E3D" w:rsidRPr="00401EB6" w:rsidRDefault="00F64AB6" w:rsidP="00F64AB6">
      <w:pPr>
        <w:spacing w:after="0"/>
        <w:contextualSpacing/>
        <w:rPr>
          <w:rFonts w:eastAsia="Times New Roman" w:cs="Times New Roman"/>
          <w:sz w:val="24"/>
          <w:szCs w:val="24"/>
          <w:lang w:eastAsia="nl-NL"/>
        </w:rPr>
      </w:pPr>
      <w:r w:rsidRPr="00401EB6">
        <w:rPr>
          <w:rFonts w:eastAsia="Times New Roman" w:cs="Times New Roman"/>
          <w:sz w:val="24"/>
          <w:szCs w:val="24"/>
          <w:lang w:eastAsia="nl-NL"/>
        </w:rPr>
        <w:t>I</w:t>
      </w:r>
      <w:r w:rsidR="00DB5E3D" w:rsidRPr="00401EB6">
        <w:rPr>
          <w:rFonts w:eastAsia="Times New Roman" w:cs="Times New Roman"/>
          <w:sz w:val="24"/>
          <w:szCs w:val="24"/>
          <w:lang w:eastAsia="nl-NL"/>
        </w:rPr>
        <w:t xml:space="preserve">n de huidige mandaten voor de categorie (beursgenoteerde) bedrijfsobligaties hebben we echter ook een minimumpercentage vastgelegd dat belegd moet worden in zogenoemde Green </w:t>
      </w:r>
      <w:proofErr w:type="spellStart"/>
      <w:r w:rsidR="00DB5E3D" w:rsidRPr="00401EB6">
        <w:rPr>
          <w:rFonts w:eastAsia="Times New Roman" w:cs="Times New Roman"/>
          <w:sz w:val="24"/>
          <w:szCs w:val="24"/>
          <w:lang w:eastAsia="nl-NL"/>
        </w:rPr>
        <w:t>Bonds</w:t>
      </w:r>
      <w:proofErr w:type="spellEnd"/>
      <w:r w:rsidR="00DB5E3D" w:rsidRPr="00401EB6">
        <w:rPr>
          <w:rFonts w:eastAsia="Times New Roman" w:cs="Times New Roman"/>
          <w:sz w:val="24"/>
          <w:szCs w:val="24"/>
          <w:lang w:eastAsia="nl-NL"/>
        </w:rPr>
        <w:t>. Dat zijn bijvoorbeeld obligaties die specifieke groenprojecten financieren.</w:t>
      </w:r>
    </w:p>
    <w:p w14:paraId="4E5AE95C" w14:textId="66694225" w:rsidR="004B2351" w:rsidRPr="00401EB6" w:rsidRDefault="004B2351" w:rsidP="00F64AB6">
      <w:pPr>
        <w:spacing w:after="0" w:line="240" w:lineRule="auto"/>
        <w:rPr>
          <w:rFonts w:eastAsia="Times New Roman" w:cstheme="minorHAnsi"/>
          <w:bCs/>
          <w:kern w:val="0"/>
          <w:sz w:val="24"/>
          <w:szCs w:val="24"/>
          <w:lang w:eastAsia="nl-NL"/>
          <w14:ligatures w14:val="none"/>
        </w:rPr>
      </w:pPr>
    </w:p>
    <w:p w14:paraId="7107D563" w14:textId="5C1ABC81" w:rsidR="004B2351" w:rsidRPr="00401EB6" w:rsidRDefault="00F64AB6" w:rsidP="00F64AB6">
      <w:pPr>
        <w:spacing w:after="0" w:line="240" w:lineRule="auto"/>
        <w:rPr>
          <w:rFonts w:eastAsia="Times New Roman" w:cstheme="minorHAnsi"/>
          <w:bCs/>
          <w:kern w:val="0"/>
          <w:sz w:val="24"/>
          <w:szCs w:val="24"/>
          <w:lang w:eastAsia="nl-NL"/>
          <w14:ligatures w14:val="none"/>
        </w:rPr>
      </w:pPr>
      <w:r w:rsidRPr="00401EB6">
        <w:rPr>
          <w:rFonts w:eastAsia="Times New Roman" w:cstheme="minorHAnsi"/>
          <w:bCs/>
          <w:kern w:val="0"/>
          <w:sz w:val="24"/>
          <w:szCs w:val="24"/>
          <w:lang w:eastAsia="nl-NL"/>
          <w14:ligatures w14:val="none"/>
        </w:rPr>
        <w:t>Meer specifiek wordt er</w:t>
      </w:r>
      <w:r w:rsidR="004B2351" w:rsidRPr="00401EB6">
        <w:rPr>
          <w:rFonts w:eastAsia="Times New Roman" w:cstheme="minorHAnsi"/>
          <w:bCs/>
          <w:kern w:val="0"/>
          <w:sz w:val="24"/>
          <w:szCs w:val="24"/>
          <w:lang w:eastAsia="nl-NL"/>
          <w14:ligatures w14:val="none"/>
        </w:rPr>
        <w:t xml:space="preserve"> onderscheid gemaakt naar de volgende categorieën van impactobligaties waarbij voor de definities wordt aangesloten bij internationale standaarden zoals de Green Bond </w:t>
      </w:r>
      <w:proofErr w:type="spellStart"/>
      <w:r w:rsidR="004B2351" w:rsidRPr="00401EB6">
        <w:rPr>
          <w:rFonts w:eastAsia="Times New Roman" w:cstheme="minorHAnsi"/>
          <w:bCs/>
          <w:kern w:val="0"/>
          <w:sz w:val="24"/>
          <w:szCs w:val="24"/>
          <w:lang w:eastAsia="nl-NL"/>
          <w14:ligatures w14:val="none"/>
        </w:rPr>
        <w:t>Principles</w:t>
      </w:r>
      <w:proofErr w:type="spellEnd"/>
      <w:r w:rsidR="004B2351" w:rsidRPr="00401EB6">
        <w:rPr>
          <w:rStyle w:val="FootnoteReference"/>
          <w:rFonts w:eastAsia="Times New Roman" w:cstheme="minorHAnsi"/>
          <w:bCs/>
          <w:kern w:val="0"/>
          <w:sz w:val="24"/>
          <w:szCs w:val="24"/>
          <w:lang w:eastAsia="nl-NL"/>
          <w14:ligatures w14:val="none"/>
        </w:rPr>
        <w:footnoteReference w:id="2"/>
      </w:r>
      <w:r w:rsidR="004B2351" w:rsidRPr="00401EB6">
        <w:rPr>
          <w:rFonts w:eastAsia="Times New Roman" w:cstheme="minorHAnsi"/>
          <w:bCs/>
          <w:kern w:val="0"/>
          <w:sz w:val="24"/>
          <w:szCs w:val="24"/>
          <w:lang w:eastAsia="nl-NL"/>
          <w14:ligatures w14:val="none"/>
        </w:rPr>
        <w:t xml:space="preserve">: Green </w:t>
      </w:r>
      <w:proofErr w:type="spellStart"/>
      <w:r w:rsidR="004B2351" w:rsidRPr="00401EB6">
        <w:rPr>
          <w:rFonts w:eastAsia="Times New Roman" w:cstheme="minorHAnsi"/>
          <w:bCs/>
          <w:kern w:val="0"/>
          <w:sz w:val="24"/>
          <w:szCs w:val="24"/>
          <w:lang w:eastAsia="nl-NL"/>
          <w14:ligatures w14:val="none"/>
        </w:rPr>
        <w:t>bonds</w:t>
      </w:r>
      <w:proofErr w:type="spellEnd"/>
      <w:r w:rsidR="004B2351" w:rsidRPr="00401EB6">
        <w:rPr>
          <w:rFonts w:eastAsia="Times New Roman" w:cstheme="minorHAnsi"/>
          <w:bCs/>
          <w:kern w:val="0"/>
          <w:sz w:val="24"/>
          <w:szCs w:val="24"/>
          <w:lang w:eastAsia="nl-NL"/>
          <w14:ligatures w14:val="none"/>
        </w:rPr>
        <w:t xml:space="preserve">, </w:t>
      </w:r>
      <w:proofErr w:type="spellStart"/>
      <w:r w:rsidR="004B2351" w:rsidRPr="00401EB6">
        <w:rPr>
          <w:rFonts w:eastAsia="Times New Roman" w:cstheme="minorHAnsi"/>
          <w:bCs/>
          <w:kern w:val="0"/>
          <w:sz w:val="24"/>
          <w:szCs w:val="24"/>
          <w:lang w:eastAsia="nl-NL"/>
          <w14:ligatures w14:val="none"/>
        </w:rPr>
        <w:t>Social</w:t>
      </w:r>
      <w:proofErr w:type="spellEnd"/>
      <w:r w:rsidR="004B2351" w:rsidRPr="00401EB6">
        <w:rPr>
          <w:rFonts w:eastAsia="Times New Roman" w:cstheme="minorHAnsi"/>
          <w:bCs/>
          <w:kern w:val="0"/>
          <w:sz w:val="24"/>
          <w:szCs w:val="24"/>
          <w:lang w:eastAsia="nl-NL"/>
          <w14:ligatures w14:val="none"/>
        </w:rPr>
        <w:t xml:space="preserve"> </w:t>
      </w:r>
      <w:proofErr w:type="spellStart"/>
      <w:r w:rsidR="004B2351" w:rsidRPr="00401EB6">
        <w:rPr>
          <w:rFonts w:eastAsia="Times New Roman" w:cstheme="minorHAnsi"/>
          <w:bCs/>
          <w:kern w:val="0"/>
          <w:sz w:val="24"/>
          <w:szCs w:val="24"/>
          <w:lang w:eastAsia="nl-NL"/>
          <w14:ligatures w14:val="none"/>
        </w:rPr>
        <w:t>bonds</w:t>
      </w:r>
      <w:proofErr w:type="spellEnd"/>
      <w:r w:rsidR="004B2351" w:rsidRPr="00401EB6">
        <w:rPr>
          <w:rFonts w:eastAsia="Times New Roman" w:cstheme="minorHAnsi"/>
          <w:bCs/>
          <w:kern w:val="0"/>
          <w:sz w:val="24"/>
          <w:szCs w:val="24"/>
          <w:lang w:eastAsia="nl-NL"/>
          <w14:ligatures w14:val="none"/>
        </w:rPr>
        <w:t xml:space="preserve">, </w:t>
      </w:r>
      <w:proofErr w:type="spellStart"/>
      <w:r w:rsidR="004B2351" w:rsidRPr="00401EB6">
        <w:rPr>
          <w:rFonts w:eastAsia="Times New Roman" w:cstheme="minorHAnsi"/>
          <w:bCs/>
          <w:kern w:val="0"/>
          <w:sz w:val="24"/>
          <w:szCs w:val="24"/>
          <w:lang w:eastAsia="nl-NL"/>
          <w14:ligatures w14:val="none"/>
        </w:rPr>
        <w:t>Sustainable</w:t>
      </w:r>
      <w:proofErr w:type="spellEnd"/>
      <w:r w:rsidR="004B2351" w:rsidRPr="00401EB6">
        <w:rPr>
          <w:rFonts w:eastAsia="Times New Roman" w:cstheme="minorHAnsi"/>
          <w:bCs/>
          <w:kern w:val="0"/>
          <w:sz w:val="24"/>
          <w:szCs w:val="24"/>
          <w:lang w:eastAsia="nl-NL"/>
          <w14:ligatures w14:val="none"/>
        </w:rPr>
        <w:t xml:space="preserve"> </w:t>
      </w:r>
      <w:proofErr w:type="spellStart"/>
      <w:r w:rsidR="004B2351" w:rsidRPr="00401EB6">
        <w:rPr>
          <w:rFonts w:eastAsia="Times New Roman" w:cstheme="minorHAnsi"/>
          <w:bCs/>
          <w:kern w:val="0"/>
          <w:sz w:val="24"/>
          <w:szCs w:val="24"/>
          <w:lang w:eastAsia="nl-NL"/>
          <w14:ligatures w14:val="none"/>
        </w:rPr>
        <w:t>bonds</w:t>
      </w:r>
      <w:proofErr w:type="spellEnd"/>
      <w:r w:rsidR="004B2351" w:rsidRPr="00401EB6">
        <w:rPr>
          <w:rFonts w:eastAsia="Times New Roman" w:cstheme="minorHAnsi"/>
          <w:bCs/>
          <w:kern w:val="0"/>
          <w:sz w:val="24"/>
          <w:szCs w:val="24"/>
          <w:lang w:eastAsia="nl-NL"/>
          <w14:ligatures w14:val="none"/>
        </w:rPr>
        <w:t xml:space="preserve">, </w:t>
      </w:r>
      <w:proofErr w:type="spellStart"/>
      <w:r w:rsidR="004B2351" w:rsidRPr="00401EB6">
        <w:rPr>
          <w:rFonts w:eastAsia="Times New Roman" w:cstheme="minorHAnsi"/>
          <w:bCs/>
          <w:kern w:val="0"/>
          <w:sz w:val="24"/>
          <w:szCs w:val="24"/>
          <w:lang w:eastAsia="nl-NL"/>
          <w14:ligatures w14:val="none"/>
        </w:rPr>
        <w:t>Sustainability</w:t>
      </w:r>
      <w:proofErr w:type="spellEnd"/>
      <w:r w:rsidR="004B2351" w:rsidRPr="00401EB6">
        <w:rPr>
          <w:rFonts w:eastAsia="Times New Roman" w:cstheme="minorHAnsi"/>
          <w:bCs/>
          <w:kern w:val="0"/>
          <w:sz w:val="24"/>
          <w:szCs w:val="24"/>
          <w:lang w:eastAsia="nl-NL"/>
          <w14:ligatures w14:val="none"/>
        </w:rPr>
        <w:t xml:space="preserve"> </w:t>
      </w:r>
      <w:proofErr w:type="spellStart"/>
      <w:r w:rsidR="004B2351" w:rsidRPr="00401EB6">
        <w:rPr>
          <w:rFonts w:eastAsia="Times New Roman" w:cstheme="minorHAnsi"/>
          <w:bCs/>
          <w:kern w:val="0"/>
          <w:sz w:val="24"/>
          <w:szCs w:val="24"/>
          <w:lang w:eastAsia="nl-NL"/>
          <w14:ligatures w14:val="none"/>
        </w:rPr>
        <w:t>linked</w:t>
      </w:r>
      <w:proofErr w:type="spellEnd"/>
      <w:r w:rsidR="004B2351" w:rsidRPr="00401EB6">
        <w:rPr>
          <w:rFonts w:eastAsia="Times New Roman" w:cstheme="minorHAnsi"/>
          <w:bCs/>
          <w:kern w:val="0"/>
          <w:sz w:val="24"/>
          <w:szCs w:val="24"/>
          <w:lang w:eastAsia="nl-NL"/>
          <w14:ligatures w14:val="none"/>
        </w:rPr>
        <w:t xml:space="preserve"> </w:t>
      </w:r>
      <w:proofErr w:type="spellStart"/>
      <w:r w:rsidR="004B2351" w:rsidRPr="00401EB6">
        <w:rPr>
          <w:rFonts w:eastAsia="Times New Roman" w:cstheme="minorHAnsi"/>
          <w:bCs/>
          <w:kern w:val="0"/>
          <w:sz w:val="24"/>
          <w:szCs w:val="24"/>
          <w:lang w:eastAsia="nl-NL"/>
          <w14:ligatures w14:val="none"/>
        </w:rPr>
        <w:t>bonds</w:t>
      </w:r>
      <w:proofErr w:type="spellEnd"/>
      <w:r w:rsidR="004B2351" w:rsidRPr="00401EB6">
        <w:rPr>
          <w:rFonts w:eastAsia="Times New Roman" w:cstheme="minorHAnsi"/>
          <w:bCs/>
          <w:kern w:val="0"/>
          <w:sz w:val="24"/>
          <w:szCs w:val="24"/>
          <w:lang w:eastAsia="nl-NL"/>
          <w14:ligatures w14:val="none"/>
        </w:rPr>
        <w:t>.</w:t>
      </w:r>
    </w:p>
    <w:p w14:paraId="0333FF49" w14:textId="77777777" w:rsidR="00401EB6" w:rsidRPr="00764CE9" w:rsidRDefault="00401EB6" w:rsidP="00F64AB6">
      <w:pPr>
        <w:spacing w:after="0" w:line="240" w:lineRule="auto"/>
        <w:rPr>
          <w:rFonts w:eastAsia="Times New Roman" w:cstheme="minorHAnsi"/>
          <w:bCs/>
          <w:kern w:val="0"/>
          <w:sz w:val="24"/>
          <w:szCs w:val="24"/>
          <w:lang w:eastAsia="nl-NL"/>
          <w14:ligatures w14:val="none"/>
        </w:rPr>
      </w:pPr>
    </w:p>
    <w:p w14:paraId="549238E4" w14:textId="77777777" w:rsidR="004B2351" w:rsidRDefault="004B2351" w:rsidP="00F64AB6">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Deze</w:t>
      </w:r>
      <w:r w:rsidRPr="00764CE9">
        <w:rPr>
          <w:rFonts w:eastAsia="Times New Roman" w:cstheme="minorHAnsi"/>
          <w:bCs/>
          <w:kern w:val="0"/>
          <w:sz w:val="24"/>
          <w:szCs w:val="24"/>
          <w:lang w:eastAsia="nl-NL"/>
          <w14:ligatures w14:val="none"/>
        </w:rPr>
        <w:t xml:space="preserve"> obligaties</w:t>
      </w:r>
      <w:r>
        <w:rPr>
          <w:rFonts w:eastAsia="Times New Roman" w:cstheme="minorHAnsi"/>
          <w:bCs/>
          <w:kern w:val="0"/>
          <w:sz w:val="24"/>
          <w:szCs w:val="24"/>
          <w:lang w:eastAsia="nl-NL"/>
          <w14:ligatures w14:val="none"/>
        </w:rPr>
        <w:t xml:space="preserve"> worden </w:t>
      </w:r>
      <w:r w:rsidRPr="00764CE9">
        <w:rPr>
          <w:rFonts w:eastAsia="Times New Roman" w:cstheme="minorHAnsi"/>
          <w:bCs/>
          <w:kern w:val="0"/>
          <w:sz w:val="24"/>
          <w:szCs w:val="24"/>
          <w:lang w:eastAsia="nl-NL"/>
          <w14:ligatures w14:val="none"/>
        </w:rPr>
        <w:t>uitgegeven door</w:t>
      </w:r>
      <w:r>
        <w:rPr>
          <w:rFonts w:eastAsia="Times New Roman" w:cstheme="minorHAnsi"/>
          <w:bCs/>
          <w:kern w:val="0"/>
          <w:sz w:val="24"/>
          <w:szCs w:val="24"/>
          <w:lang w:eastAsia="nl-NL"/>
          <w14:ligatures w14:val="none"/>
        </w:rPr>
        <w:t xml:space="preserve"> </w:t>
      </w:r>
      <w:r w:rsidRPr="00764CE9">
        <w:rPr>
          <w:rFonts w:eastAsia="Times New Roman" w:cstheme="minorHAnsi"/>
          <w:bCs/>
          <w:kern w:val="0"/>
          <w:sz w:val="24"/>
          <w:szCs w:val="24"/>
          <w:lang w:eastAsia="nl-NL"/>
          <w14:ligatures w14:val="none"/>
        </w:rPr>
        <w:t>(lokale) overheden</w:t>
      </w:r>
      <w:r>
        <w:rPr>
          <w:rFonts w:eastAsia="Times New Roman" w:cstheme="minorHAnsi"/>
          <w:bCs/>
          <w:kern w:val="0"/>
          <w:sz w:val="24"/>
          <w:szCs w:val="24"/>
          <w:lang w:eastAsia="nl-NL"/>
          <w14:ligatures w14:val="none"/>
        </w:rPr>
        <w:t xml:space="preserve"> en bedrijven en hebben als uitgangspunt dat ze</w:t>
      </w:r>
      <w:r w:rsidRPr="00764CE9">
        <w:rPr>
          <w:rFonts w:eastAsia="Times New Roman" w:cstheme="minorHAnsi"/>
          <w:bCs/>
          <w:kern w:val="0"/>
          <w:sz w:val="24"/>
          <w:szCs w:val="24"/>
          <w:lang w:eastAsia="nl-NL"/>
          <w14:ligatures w14:val="none"/>
        </w:rPr>
        <w:t xml:space="preserve"> </w:t>
      </w:r>
      <w:r w:rsidRPr="00401EB6">
        <w:rPr>
          <w:rFonts w:eastAsia="Times New Roman" w:cstheme="minorHAnsi"/>
          <w:bCs/>
          <w:kern w:val="0"/>
          <w:sz w:val="24"/>
          <w:szCs w:val="24"/>
          <w:lang w:eastAsia="nl-NL"/>
          <w14:ligatures w14:val="none"/>
        </w:rPr>
        <w:t>positieve</w:t>
      </w:r>
      <w:r w:rsidRPr="00764CE9">
        <w:rPr>
          <w:rFonts w:eastAsia="Times New Roman" w:cstheme="minorHAnsi"/>
          <w:bCs/>
          <w:kern w:val="0"/>
          <w:sz w:val="24"/>
          <w:szCs w:val="24"/>
          <w:lang w:eastAsia="nl-NL"/>
          <w14:ligatures w14:val="none"/>
        </w:rPr>
        <w:t xml:space="preserve"> impact maken op duurzaam en/of sociaal gebied</w:t>
      </w:r>
      <w:r>
        <w:rPr>
          <w:rFonts w:eastAsia="Times New Roman" w:cstheme="minorHAnsi"/>
          <w:bCs/>
          <w:kern w:val="0"/>
          <w:sz w:val="24"/>
          <w:szCs w:val="24"/>
          <w:lang w:eastAsia="nl-NL"/>
          <w14:ligatures w14:val="none"/>
        </w:rPr>
        <w:t xml:space="preserve">. Denk hier bijvoorbeeld aan </w:t>
      </w:r>
      <w:r w:rsidRPr="00764CE9">
        <w:rPr>
          <w:rFonts w:eastAsia="Times New Roman" w:cstheme="minorHAnsi"/>
          <w:bCs/>
          <w:kern w:val="0"/>
          <w:sz w:val="24"/>
          <w:szCs w:val="24"/>
          <w:lang w:eastAsia="nl-NL"/>
          <w14:ligatures w14:val="none"/>
        </w:rPr>
        <w:t>het realiseren van duurzame energieprojecten</w:t>
      </w:r>
      <w:bookmarkEnd w:id="0"/>
      <w:r>
        <w:rPr>
          <w:rFonts w:eastAsia="Times New Roman" w:cstheme="minorHAnsi"/>
          <w:bCs/>
          <w:kern w:val="0"/>
          <w:sz w:val="24"/>
          <w:szCs w:val="24"/>
          <w:lang w:eastAsia="nl-NL"/>
          <w14:ligatures w14:val="none"/>
        </w:rPr>
        <w:t xml:space="preserve"> (Green </w:t>
      </w:r>
      <w:proofErr w:type="spellStart"/>
      <w:r>
        <w:rPr>
          <w:rFonts w:eastAsia="Times New Roman" w:cstheme="minorHAnsi"/>
          <w:bCs/>
          <w:kern w:val="0"/>
          <w:sz w:val="24"/>
          <w:szCs w:val="24"/>
          <w:lang w:eastAsia="nl-NL"/>
          <w14:ligatures w14:val="none"/>
        </w:rPr>
        <w:t>bonds</w:t>
      </w:r>
      <w:proofErr w:type="spellEnd"/>
      <w:r>
        <w:rPr>
          <w:rFonts w:eastAsia="Times New Roman" w:cstheme="minorHAnsi"/>
          <w:bCs/>
          <w:kern w:val="0"/>
          <w:sz w:val="24"/>
          <w:szCs w:val="24"/>
          <w:lang w:eastAsia="nl-NL"/>
          <w14:ligatures w14:val="none"/>
        </w:rPr>
        <w:t>), of ouderenzorg-projecten (</w:t>
      </w:r>
      <w:proofErr w:type="spellStart"/>
      <w:r>
        <w:rPr>
          <w:rFonts w:eastAsia="Times New Roman" w:cstheme="minorHAnsi"/>
          <w:bCs/>
          <w:kern w:val="0"/>
          <w:sz w:val="24"/>
          <w:szCs w:val="24"/>
          <w:lang w:eastAsia="nl-NL"/>
          <w14:ligatures w14:val="none"/>
        </w:rPr>
        <w:t>Social</w:t>
      </w:r>
      <w:proofErr w:type="spellEnd"/>
      <w:r>
        <w:rPr>
          <w:rFonts w:eastAsia="Times New Roman" w:cstheme="minorHAnsi"/>
          <w:bCs/>
          <w:kern w:val="0"/>
          <w:sz w:val="24"/>
          <w:szCs w:val="24"/>
          <w:lang w:eastAsia="nl-NL"/>
          <w14:ligatures w14:val="none"/>
        </w:rPr>
        <w:t xml:space="preserve"> </w:t>
      </w:r>
      <w:proofErr w:type="spellStart"/>
      <w:r>
        <w:rPr>
          <w:rFonts w:eastAsia="Times New Roman" w:cstheme="minorHAnsi"/>
          <w:bCs/>
          <w:kern w:val="0"/>
          <w:sz w:val="24"/>
          <w:szCs w:val="24"/>
          <w:lang w:eastAsia="nl-NL"/>
          <w14:ligatures w14:val="none"/>
        </w:rPr>
        <w:t>bonds</w:t>
      </w:r>
      <w:proofErr w:type="spellEnd"/>
      <w:r>
        <w:rPr>
          <w:rFonts w:eastAsia="Times New Roman" w:cstheme="minorHAnsi"/>
          <w:bCs/>
          <w:kern w:val="0"/>
          <w:sz w:val="24"/>
          <w:szCs w:val="24"/>
          <w:lang w:eastAsia="nl-NL"/>
          <w14:ligatures w14:val="none"/>
        </w:rPr>
        <w:t>).</w:t>
      </w:r>
    </w:p>
    <w:p w14:paraId="089D5B79" w14:textId="77777777" w:rsidR="004B2351" w:rsidRDefault="004B2351" w:rsidP="00F64AB6">
      <w:pPr>
        <w:spacing w:after="0" w:line="240" w:lineRule="auto"/>
        <w:rPr>
          <w:rFonts w:eastAsia="Times New Roman" w:cstheme="minorHAnsi"/>
          <w:bCs/>
          <w:kern w:val="0"/>
          <w:sz w:val="24"/>
          <w:szCs w:val="24"/>
          <w:lang w:eastAsia="nl-NL"/>
          <w14:ligatures w14:val="none"/>
        </w:rPr>
      </w:pPr>
    </w:p>
    <w:p w14:paraId="17CADFDD" w14:textId="0E9ABC61" w:rsidR="004B2351" w:rsidRDefault="004B2351" w:rsidP="00F64AB6">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In onze portefeuille was</w:t>
      </w:r>
      <w:r w:rsidRPr="00764CE9">
        <w:rPr>
          <w:rFonts w:eastAsia="Times New Roman" w:cstheme="minorHAnsi"/>
          <w:bCs/>
          <w:kern w:val="0"/>
          <w:sz w:val="24"/>
          <w:szCs w:val="24"/>
          <w:lang w:eastAsia="nl-NL"/>
          <w14:ligatures w14:val="none"/>
        </w:rPr>
        <w:t xml:space="preserve"> </w:t>
      </w:r>
      <w:r>
        <w:rPr>
          <w:rFonts w:eastAsia="Times New Roman" w:cstheme="minorHAnsi"/>
          <w:bCs/>
          <w:kern w:val="0"/>
          <w:sz w:val="24"/>
          <w:szCs w:val="24"/>
          <w:lang w:eastAsia="nl-NL"/>
          <w14:ligatures w14:val="none"/>
        </w:rPr>
        <w:t>per 3</w:t>
      </w:r>
      <w:r w:rsidR="00AE60DB">
        <w:rPr>
          <w:rFonts w:eastAsia="Times New Roman" w:cstheme="minorHAnsi"/>
          <w:bCs/>
          <w:kern w:val="0"/>
          <w:sz w:val="24"/>
          <w:szCs w:val="24"/>
          <w:lang w:eastAsia="nl-NL"/>
          <w14:ligatures w14:val="none"/>
        </w:rPr>
        <w:t>1</w:t>
      </w:r>
      <w:r>
        <w:rPr>
          <w:rFonts w:eastAsia="Times New Roman" w:cstheme="minorHAnsi"/>
          <w:bCs/>
          <w:kern w:val="0"/>
          <w:sz w:val="24"/>
          <w:szCs w:val="24"/>
          <w:lang w:eastAsia="nl-NL"/>
          <w14:ligatures w14:val="none"/>
        </w:rPr>
        <w:t xml:space="preserve"> </w:t>
      </w:r>
      <w:r w:rsidR="00AE60DB">
        <w:rPr>
          <w:rFonts w:eastAsia="Times New Roman" w:cstheme="minorHAnsi"/>
          <w:bCs/>
          <w:kern w:val="0"/>
          <w:sz w:val="24"/>
          <w:szCs w:val="24"/>
          <w:lang w:eastAsia="nl-NL"/>
          <w14:ligatures w14:val="none"/>
        </w:rPr>
        <w:t>december</w:t>
      </w:r>
      <w:r w:rsidR="00F64AB6">
        <w:rPr>
          <w:rFonts w:eastAsia="Times New Roman" w:cstheme="minorHAnsi"/>
          <w:bCs/>
          <w:kern w:val="0"/>
          <w:sz w:val="24"/>
          <w:szCs w:val="24"/>
          <w:lang w:eastAsia="nl-NL"/>
          <w14:ligatures w14:val="none"/>
        </w:rPr>
        <w:t xml:space="preserve"> </w:t>
      </w:r>
      <w:r>
        <w:rPr>
          <w:rFonts w:eastAsia="Times New Roman" w:cstheme="minorHAnsi"/>
          <w:bCs/>
          <w:kern w:val="0"/>
          <w:sz w:val="24"/>
          <w:szCs w:val="24"/>
          <w:lang w:eastAsia="nl-NL"/>
          <w14:ligatures w14:val="none"/>
        </w:rPr>
        <w:t xml:space="preserve">2025 </w:t>
      </w:r>
      <w:r w:rsidRPr="00764CE9">
        <w:rPr>
          <w:rFonts w:eastAsia="Times New Roman" w:cstheme="minorHAnsi"/>
          <w:bCs/>
          <w:kern w:val="0"/>
          <w:sz w:val="24"/>
          <w:szCs w:val="24"/>
          <w:lang w:eastAsia="nl-NL"/>
          <w14:ligatures w14:val="none"/>
        </w:rPr>
        <w:t xml:space="preserve">EUR </w:t>
      </w:r>
      <w:r w:rsidR="00F64AB6">
        <w:rPr>
          <w:rFonts w:eastAsia="Times New Roman" w:cstheme="minorHAnsi"/>
          <w:bCs/>
          <w:kern w:val="0"/>
          <w:sz w:val="24"/>
          <w:szCs w:val="24"/>
          <w:lang w:eastAsia="nl-NL"/>
          <w14:ligatures w14:val="none"/>
        </w:rPr>
        <w:t>2</w:t>
      </w:r>
      <w:r w:rsidR="00AE60DB">
        <w:rPr>
          <w:rFonts w:eastAsia="Times New Roman" w:cstheme="minorHAnsi"/>
          <w:bCs/>
          <w:kern w:val="0"/>
          <w:sz w:val="24"/>
          <w:szCs w:val="24"/>
          <w:lang w:eastAsia="nl-NL"/>
          <w14:ligatures w14:val="none"/>
        </w:rPr>
        <w:t>21</w:t>
      </w:r>
      <w:r w:rsidRPr="00764CE9">
        <w:rPr>
          <w:rFonts w:eastAsia="Times New Roman" w:cstheme="minorHAnsi"/>
          <w:bCs/>
          <w:kern w:val="0"/>
          <w:sz w:val="24"/>
          <w:szCs w:val="24"/>
          <w:lang w:eastAsia="nl-NL"/>
          <w14:ligatures w14:val="none"/>
        </w:rPr>
        <w:t xml:space="preserve"> mln. belegd in impactobligaties. Dit </w:t>
      </w:r>
      <w:r w:rsidR="00C717AA">
        <w:rPr>
          <w:rFonts w:eastAsia="Times New Roman" w:cstheme="minorHAnsi"/>
          <w:bCs/>
          <w:kern w:val="0"/>
          <w:sz w:val="24"/>
          <w:szCs w:val="24"/>
          <w:lang w:eastAsia="nl-NL"/>
          <w14:ligatures w14:val="none"/>
        </w:rPr>
        <w:t xml:space="preserve">is </w:t>
      </w:r>
      <w:r w:rsidR="00DE097A">
        <w:rPr>
          <w:rFonts w:eastAsia="Times New Roman" w:cstheme="minorHAnsi"/>
          <w:bCs/>
          <w:kern w:val="0"/>
          <w:sz w:val="24"/>
          <w:szCs w:val="24"/>
          <w:lang w:eastAsia="nl-NL"/>
          <w14:ligatures w14:val="none"/>
        </w:rPr>
        <w:t>meer</w:t>
      </w:r>
      <w:r w:rsidR="00C717AA">
        <w:rPr>
          <w:rFonts w:eastAsia="Times New Roman" w:cstheme="minorHAnsi"/>
          <w:bCs/>
          <w:kern w:val="0"/>
          <w:sz w:val="24"/>
          <w:szCs w:val="24"/>
          <w:lang w:eastAsia="nl-NL"/>
          <w14:ligatures w14:val="none"/>
        </w:rPr>
        <w:t xml:space="preserve"> </w:t>
      </w:r>
      <w:r w:rsidR="00F64AB6">
        <w:rPr>
          <w:rFonts w:eastAsia="Times New Roman" w:cstheme="minorHAnsi"/>
          <w:bCs/>
          <w:kern w:val="0"/>
          <w:sz w:val="24"/>
          <w:szCs w:val="24"/>
          <w:lang w:eastAsia="nl-NL"/>
          <w14:ligatures w14:val="none"/>
        </w:rPr>
        <w:t>dan aan</w:t>
      </w:r>
      <w:r>
        <w:rPr>
          <w:rFonts w:eastAsia="Times New Roman" w:cstheme="minorHAnsi"/>
          <w:bCs/>
          <w:kern w:val="0"/>
          <w:sz w:val="24"/>
          <w:szCs w:val="24"/>
          <w:lang w:eastAsia="nl-NL"/>
          <w14:ligatures w14:val="none"/>
        </w:rPr>
        <w:t xml:space="preserve"> het einde van het</w:t>
      </w:r>
      <w:r w:rsidR="00F64AB6">
        <w:rPr>
          <w:rFonts w:eastAsia="Times New Roman" w:cstheme="minorHAnsi"/>
          <w:bCs/>
          <w:kern w:val="0"/>
          <w:sz w:val="24"/>
          <w:szCs w:val="24"/>
          <w:lang w:eastAsia="nl-NL"/>
          <w14:ligatures w14:val="none"/>
        </w:rPr>
        <w:t xml:space="preserve"> </w:t>
      </w:r>
      <w:r w:rsidR="00DE097A">
        <w:rPr>
          <w:rFonts w:eastAsia="Times New Roman" w:cstheme="minorHAnsi"/>
          <w:bCs/>
          <w:kern w:val="0"/>
          <w:sz w:val="24"/>
          <w:szCs w:val="24"/>
          <w:lang w:eastAsia="nl-NL"/>
          <w14:ligatures w14:val="none"/>
        </w:rPr>
        <w:t>derde</w:t>
      </w:r>
      <w:r>
        <w:rPr>
          <w:rFonts w:eastAsia="Times New Roman" w:cstheme="minorHAnsi"/>
          <w:bCs/>
          <w:kern w:val="0"/>
          <w:sz w:val="24"/>
          <w:szCs w:val="24"/>
          <w:lang w:eastAsia="nl-NL"/>
          <w14:ligatures w14:val="none"/>
        </w:rPr>
        <w:t xml:space="preserve"> kwartaal van </w:t>
      </w:r>
      <w:r w:rsidRPr="00764CE9">
        <w:rPr>
          <w:rFonts w:eastAsia="Times New Roman" w:cstheme="minorHAnsi"/>
          <w:bCs/>
          <w:kern w:val="0"/>
          <w:sz w:val="24"/>
          <w:szCs w:val="24"/>
          <w:lang w:eastAsia="nl-NL"/>
          <w14:ligatures w14:val="none"/>
        </w:rPr>
        <w:t>202</w:t>
      </w:r>
      <w:r>
        <w:rPr>
          <w:rFonts w:eastAsia="Times New Roman" w:cstheme="minorHAnsi"/>
          <w:bCs/>
          <w:kern w:val="0"/>
          <w:sz w:val="24"/>
          <w:szCs w:val="24"/>
          <w:lang w:eastAsia="nl-NL"/>
          <w14:ligatures w14:val="none"/>
        </w:rPr>
        <w:t xml:space="preserve">5. </w:t>
      </w:r>
    </w:p>
    <w:p w14:paraId="5CFAEFE2" w14:textId="77777777" w:rsidR="004B2351" w:rsidRPr="00764CE9" w:rsidRDefault="004B2351" w:rsidP="00F64AB6">
      <w:pPr>
        <w:spacing w:after="0" w:line="240" w:lineRule="auto"/>
        <w:rPr>
          <w:rFonts w:eastAsia="Times New Roman" w:cstheme="minorHAnsi"/>
          <w:bCs/>
          <w:kern w:val="0"/>
          <w:sz w:val="24"/>
          <w:szCs w:val="24"/>
          <w:lang w:eastAsia="nl-NL"/>
          <w14:ligatures w14:val="none"/>
        </w:rPr>
      </w:pPr>
      <w:r w:rsidRPr="00764CE9">
        <w:rPr>
          <w:rFonts w:eastAsia="Times New Roman" w:cstheme="minorHAnsi"/>
          <w:bCs/>
          <w:kern w:val="0"/>
          <w:sz w:val="24"/>
          <w:szCs w:val="24"/>
          <w:lang w:eastAsia="nl-NL"/>
          <w14:ligatures w14:val="none"/>
        </w:rPr>
        <w:t xml:space="preserve"> </w:t>
      </w:r>
    </w:p>
    <w:p w14:paraId="21D19FB3" w14:textId="7D76B7CE" w:rsidR="00401EB6" w:rsidRDefault="004B2351" w:rsidP="00F64AB6">
      <w:pPr>
        <w:spacing w:after="0" w:line="240" w:lineRule="auto"/>
        <w:rPr>
          <w:rFonts w:eastAsia="Times New Roman" w:cstheme="minorHAnsi"/>
          <w:bCs/>
          <w:kern w:val="0"/>
          <w:sz w:val="24"/>
          <w:szCs w:val="24"/>
          <w:lang w:eastAsia="nl-NL"/>
          <w14:ligatures w14:val="none"/>
        </w:rPr>
      </w:pPr>
      <w:r w:rsidRPr="00764CE9">
        <w:rPr>
          <w:rFonts w:eastAsia="Times New Roman" w:cstheme="minorHAnsi"/>
          <w:bCs/>
          <w:kern w:val="0"/>
          <w:sz w:val="24"/>
          <w:szCs w:val="24"/>
          <w:lang w:eastAsia="nl-NL"/>
          <w14:ligatures w14:val="none"/>
        </w:rPr>
        <w:t xml:space="preserve">Bij staatsobligaties is het overgrote deel belegd in Green </w:t>
      </w:r>
      <w:proofErr w:type="spellStart"/>
      <w:r w:rsidRPr="00764CE9">
        <w:rPr>
          <w:rFonts w:eastAsia="Times New Roman" w:cstheme="minorHAnsi"/>
          <w:bCs/>
          <w:kern w:val="0"/>
          <w:sz w:val="24"/>
          <w:szCs w:val="24"/>
          <w:lang w:eastAsia="nl-NL"/>
          <w14:ligatures w14:val="none"/>
        </w:rPr>
        <w:t>bonds</w:t>
      </w:r>
      <w:proofErr w:type="spellEnd"/>
      <w:r w:rsidRPr="00764CE9">
        <w:rPr>
          <w:rFonts w:eastAsia="Times New Roman" w:cstheme="minorHAnsi"/>
          <w:bCs/>
          <w:kern w:val="0"/>
          <w:sz w:val="24"/>
          <w:szCs w:val="24"/>
          <w:lang w:eastAsia="nl-NL"/>
          <w14:ligatures w14:val="none"/>
        </w:rPr>
        <w:t>, een klein deel in de andere categorieën. Qua omvang hebben ‘groene’ staatsobligaties uit Duitsland, Nederland en Frankrijk het grootste gewicht. Relatief gezien wordt er in de categorie bedrijfsobligaties meer belegd in de andere categorieën, zij het met kleinere bedragen.</w:t>
      </w:r>
    </w:p>
    <w:p w14:paraId="4E7663EE" w14:textId="77777777" w:rsidR="00401EB6" w:rsidRDefault="00401EB6">
      <w:pPr>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br w:type="page"/>
      </w:r>
    </w:p>
    <w:p w14:paraId="2D645752" w14:textId="77777777" w:rsidR="004B2351" w:rsidRPr="00764CE9" w:rsidRDefault="004B2351" w:rsidP="00F64AB6">
      <w:pPr>
        <w:spacing w:after="0" w:line="240" w:lineRule="auto"/>
        <w:rPr>
          <w:rFonts w:eastAsia="Times New Roman" w:cstheme="minorHAnsi"/>
          <w:bCs/>
          <w:kern w:val="0"/>
          <w:sz w:val="24"/>
          <w:szCs w:val="24"/>
          <w:lang w:eastAsia="nl-NL"/>
          <w14:ligatures w14:val="none"/>
        </w:rPr>
      </w:pPr>
    </w:p>
    <w:p w14:paraId="01E84D67" w14:textId="77777777" w:rsidR="004B2351" w:rsidRDefault="004B2351" w:rsidP="004B2351">
      <w:pPr>
        <w:spacing w:after="0" w:line="240" w:lineRule="auto"/>
        <w:rPr>
          <w:rFonts w:ascii="Times New Roman" w:eastAsia="Times New Roman" w:hAnsi="Times New Roman" w:cs="Times New Roman"/>
          <w:bCs/>
          <w:kern w:val="0"/>
          <w:sz w:val="24"/>
          <w:szCs w:val="24"/>
          <w:lang w:eastAsia="nl-NL"/>
          <w14:ligatures w14:val="none"/>
        </w:rPr>
      </w:pPr>
    </w:p>
    <w:p w14:paraId="47EE24CF" w14:textId="5104A2ED" w:rsidR="004B2351" w:rsidRDefault="004B2351" w:rsidP="004B2351">
      <w:pPr>
        <w:spacing w:after="0" w:line="240" w:lineRule="auto"/>
        <w:rPr>
          <w:rFonts w:eastAsia="Times New Roman" w:cstheme="minorHAnsi"/>
          <w:b/>
          <w:kern w:val="0"/>
          <w:sz w:val="24"/>
          <w:szCs w:val="24"/>
          <w:lang w:eastAsia="nl-NL"/>
          <w14:ligatures w14:val="none"/>
        </w:rPr>
      </w:pPr>
      <w:r w:rsidRPr="00632540">
        <w:rPr>
          <w:rFonts w:eastAsia="Times New Roman" w:cstheme="minorHAnsi"/>
          <w:b/>
          <w:kern w:val="0"/>
          <w:sz w:val="24"/>
          <w:szCs w:val="24"/>
          <w:lang w:eastAsia="nl-NL"/>
          <w14:ligatures w14:val="none"/>
        </w:rPr>
        <w:t>Figuur 1: Verdeling over de categorieën impactobligaties in de portefeuille van Pensioenfonds TNO</w:t>
      </w:r>
      <w:r w:rsidR="00FB1CC8">
        <w:rPr>
          <w:rFonts w:eastAsia="Times New Roman" w:cstheme="minorHAnsi"/>
          <w:b/>
          <w:kern w:val="0"/>
          <w:sz w:val="24"/>
          <w:szCs w:val="24"/>
          <w:lang w:eastAsia="nl-NL"/>
          <w14:ligatures w14:val="none"/>
        </w:rPr>
        <w:t>, binnen de totale obligatieportefeuille.</w:t>
      </w:r>
    </w:p>
    <w:p w14:paraId="6DF84AFB" w14:textId="77777777" w:rsidR="00FB1CC8" w:rsidRPr="00632540" w:rsidRDefault="00FB1CC8" w:rsidP="004B2351">
      <w:pPr>
        <w:spacing w:after="0" w:line="240" w:lineRule="auto"/>
        <w:rPr>
          <w:rFonts w:eastAsia="Times New Roman" w:cstheme="minorHAnsi"/>
          <w:b/>
          <w:kern w:val="0"/>
          <w:sz w:val="24"/>
          <w:szCs w:val="24"/>
          <w:lang w:eastAsia="nl-NL"/>
          <w14:ligatures w14:val="none"/>
        </w:rPr>
      </w:pPr>
    </w:p>
    <w:p w14:paraId="6A223C3E" w14:textId="1C7D5602" w:rsidR="004B2351" w:rsidRDefault="00DE097A">
      <w:pPr>
        <w:rPr>
          <w:rFonts w:eastAsia="Times New Roman" w:cstheme="minorHAnsi"/>
          <w:b/>
          <w:bCs/>
          <w:kern w:val="0"/>
          <w:sz w:val="28"/>
          <w:szCs w:val="28"/>
          <w:u w:val="single"/>
          <w:lang w:eastAsia="nl-NL"/>
          <w14:ligatures w14:val="none"/>
        </w:rPr>
      </w:pPr>
      <w:r>
        <w:rPr>
          <w:rFonts w:eastAsia="Times New Roman" w:cstheme="minorHAnsi"/>
          <w:b/>
          <w:bCs/>
          <w:noProof/>
          <w:kern w:val="0"/>
          <w:sz w:val="28"/>
          <w:szCs w:val="28"/>
          <w:u w:val="single"/>
          <w:lang w:eastAsia="nl-NL"/>
          <w14:ligatures w14:val="none"/>
        </w:rPr>
        <w:drawing>
          <wp:anchor distT="0" distB="0" distL="114300" distR="114300" simplePos="0" relativeHeight="251660288" behindDoc="0" locked="0" layoutInCell="1" allowOverlap="1" wp14:anchorId="13A22EFA" wp14:editId="0F595C7A">
            <wp:simplePos x="0" y="0"/>
            <wp:positionH relativeFrom="column">
              <wp:posOffset>-2540</wp:posOffset>
            </wp:positionH>
            <wp:positionV relativeFrom="paragraph">
              <wp:posOffset>-3810</wp:posOffset>
            </wp:positionV>
            <wp:extent cx="5033010" cy="2233295"/>
            <wp:effectExtent l="0" t="0" r="0" b="0"/>
            <wp:wrapThrough wrapText="bothSides">
              <wp:wrapPolygon edited="0">
                <wp:start x="0" y="0"/>
                <wp:lineTo x="0" y="21373"/>
                <wp:lineTo x="21502" y="21373"/>
                <wp:lineTo x="21502" y="0"/>
                <wp:lineTo x="0" y="0"/>
              </wp:wrapPolygon>
            </wp:wrapThrough>
            <wp:docPr id="713708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3010" cy="2233295"/>
                    </a:xfrm>
                    <a:prstGeom prst="rect">
                      <a:avLst/>
                    </a:prstGeom>
                    <a:noFill/>
                  </pic:spPr>
                </pic:pic>
              </a:graphicData>
            </a:graphic>
          </wp:anchor>
        </w:drawing>
      </w:r>
    </w:p>
    <w:p w14:paraId="40DA1902" w14:textId="40A71E2E" w:rsidR="00401EB6" w:rsidRDefault="00DE097A">
      <w:pPr>
        <w:rPr>
          <w:rFonts w:eastAsia="Times New Roman" w:cstheme="minorHAnsi"/>
          <w:b/>
          <w:bCs/>
          <w:kern w:val="0"/>
          <w:sz w:val="28"/>
          <w:szCs w:val="28"/>
          <w:u w:val="single"/>
          <w:lang w:eastAsia="nl-NL"/>
          <w14:ligatures w14:val="none"/>
        </w:rPr>
      </w:pPr>
      <w:r>
        <w:rPr>
          <w:rFonts w:eastAsia="Times New Roman" w:cstheme="minorHAnsi"/>
          <w:b/>
          <w:bCs/>
          <w:noProof/>
          <w:kern w:val="0"/>
          <w:sz w:val="28"/>
          <w:szCs w:val="28"/>
          <w:u w:val="single"/>
          <w:lang w:eastAsia="nl-NL"/>
          <w14:ligatures w14:val="none"/>
        </w:rPr>
        <w:drawing>
          <wp:anchor distT="0" distB="0" distL="114300" distR="114300" simplePos="0" relativeHeight="251661312" behindDoc="0" locked="0" layoutInCell="1" allowOverlap="1" wp14:anchorId="326C350E" wp14:editId="2A0944F4">
            <wp:simplePos x="0" y="0"/>
            <wp:positionH relativeFrom="margin">
              <wp:posOffset>4972685</wp:posOffset>
            </wp:positionH>
            <wp:positionV relativeFrom="paragraph">
              <wp:posOffset>1349375</wp:posOffset>
            </wp:positionV>
            <wp:extent cx="1127760" cy="519430"/>
            <wp:effectExtent l="0" t="0" r="0" b="0"/>
            <wp:wrapThrough wrapText="bothSides">
              <wp:wrapPolygon edited="0">
                <wp:start x="0" y="0"/>
                <wp:lineTo x="0" y="20597"/>
                <wp:lineTo x="21162" y="20597"/>
                <wp:lineTo x="21162" y="0"/>
                <wp:lineTo x="0" y="0"/>
              </wp:wrapPolygon>
            </wp:wrapThrough>
            <wp:docPr id="11365568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760" cy="519430"/>
                    </a:xfrm>
                    <a:prstGeom prst="rect">
                      <a:avLst/>
                    </a:prstGeom>
                    <a:noFill/>
                  </pic:spPr>
                </pic:pic>
              </a:graphicData>
            </a:graphic>
            <wp14:sizeRelH relativeFrom="margin">
              <wp14:pctWidth>0</wp14:pctWidth>
            </wp14:sizeRelH>
            <wp14:sizeRelV relativeFrom="margin">
              <wp14:pctHeight>0</wp14:pctHeight>
            </wp14:sizeRelV>
          </wp:anchor>
        </w:drawing>
      </w:r>
      <w:r w:rsidR="00401EB6">
        <w:rPr>
          <w:rFonts w:eastAsia="Times New Roman" w:cstheme="minorHAnsi"/>
          <w:b/>
          <w:bCs/>
          <w:kern w:val="0"/>
          <w:sz w:val="28"/>
          <w:szCs w:val="28"/>
          <w:u w:val="single"/>
          <w:lang w:eastAsia="nl-NL"/>
          <w14:ligatures w14:val="none"/>
        </w:rPr>
        <w:br w:type="page"/>
      </w:r>
    </w:p>
    <w:p w14:paraId="24B29274" w14:textId="77777777" w:rsidR="00401EB6" w:rsidRDefault="00401EB6" w:rsidP="006B1A17">
      <w:pPr>
        <w:spacing w:after="0" w:line="240" w:lineRule="auto"/>
        <w:jc w:val="both"/>
        <w:rPr>
          <w:rFonts w:eastAsia="Times New Roman" w:cstheme="minorHAnsi"/>
          <w:b/>
          <w:bCs/>
          <w:kern w:val="0"/>
          <w:sz w:val="28"/>
          <w:szCs w:val="28"/>
          <w:u w:val="single"/>
          <w:lang w:eastAsia="nl-NL"/>
          <w14:ligatures w14:val="none"/>
        </w:rPr>
      </w:pPr>
    </w:p>
    <w:p w14:paraId="021D8235" w14:textId="4ED174C1" w:rsidR="006B1A17" w:rsidRPr="00BA223B" w:rsidRDefault="006B1A17" w:rsidP="006B1A17">
      <w:pPr>
        <w:spacing w:after="0" w:line="240" w:lineRule="auto"/>
        <w:jc w:val="both"/>
        <w:rPr>
          <w:rFonts w:eastAsia="Times New Roman" w:cstheme="minorHAnsi"/>
          <w:b/>
          <w:bCs/>
          <w:kern w:val="0"/>
          <w:sz w:val="28"/>
          <w:szCs w:val="28"/>
          <w:u w:val="single"/>
          <w:lang w:eastAsia="nl-NL"/>
          <w14:ligatures w14:val="none"/>
        </w:rPr>
      </w:pPr>
      <w:r w:rsidRPr="00BA223B">
        <w:rPr>
          <w:rFonts w:eastAsia="Times New Roman" w:cstheme="minorHAnsi"/>
          <w:b/>
          <w:bCs/>
          <w:kern w:val="0"/>
          <w:sz w:val="28"/>
          <w:szCs w:val="28"/>
          <w:u w:val="single"/>
          <w:lang w:eastAsia="nl-NL"/>
          <w14:ligatures w14:val="none"/>
        </w:rPr>
        <w:t>Uitsluiting</w:t>
      </w:r>
      <w:r w:rsidR="00BD59DD">
        <w:rPr>
          <w:rFonts w:eastAsia="Times New Roman" w:cstheme="minorHAnsi"/>
          <w:b/>
          <w:bCs/>
          <w:kern w:val="0"/>
          <w:sz w:val="28"/>
          <w:szCs w:val="28"/>
          <w:u w:val="single"/>
          <w:lang w:eastAsia="nl-NL"/>
          <w14:ligatures w14:val="none"/>
        </w:rPr>
        <w:t xml:space="preserve">sbeleid </w:t>
      </w:r>
      <w:r w:rsidR="00084534">
        <w:rPr>
          <w:rFonts w:eastAsia="Times New Roman" w:cstheme="minorHAnsi"/>
          <w:b/>
          <w:bCs/>
          <w:kern w:val="0"/>
          <w:sz w:val="28"/>
          <w:szCs w:val="28"/>
          <w:u w:val="single"/>
          <w:lang w:eastAsia="nl-NL"/>
          <w14:ligatures w14:val="none"/>
        </w:rPr>
        <w:t>Q4 2025</w:t>
      </w:r>
    </w:p>
    <w:p w14:paraId="4118DCB5" w14:textId="77777777" w:rsidR="006B1A17" w:rsidRPr="00BA223B" w:rsidRDefault="006B1A17" w:rsidP="006B1A17">
      <w:pPr>
        <w:spacing w:after="0" w:line="240" w:lineRule="auto"/>
        <w:jc w:val="both"/>
        <w:rPr>
          <w:rFonts w:eastAsia="Times New Roman" w:cstheme="minorHAnsi"/>
          <w:b/>
          <w:bCs/>
          <w:kern w:val="0"/>
          <w:sz w:val="24"/>
          <w:szCs w:val="24"/>
          <w:u w:val="single"/>
          <w:lang w:eastAsia="nl-NL"/>
          <w14:ligatures w14:val="none"/>
        </w:rPr>
      </w:pPr>
    </w:p>
    <w:p w14:paraId="28F74BC5" w14:textId="3CE03689" w:rsidR="00045574" w:rsidRDefault="006B1A17" w:rsidP="00045574">
      <w:pPr>
        <w:spacing w:after="0" w:line="240" w:lineRule="auto"/>
        <w:rPr>
          <w:rFonts w:eastAsia="Times New Roman" w:cstheme="minorHAnsi"/>
          <w:bCs/>
          <w:kern w:val="0"/>
          <w:sz w:val="24"/>
          <w:szCs w:val="24"/>
          <w:lang w:eastAsia="nl-NL"/>
          <w14:ligatures w14:val="none"/>
        </w:rPr>
      </w:pPr>
      <w:r w:rsidRPr="00BA223B">
        <w:rPr>
          <w:rFonts w:eastAsia="Times New Roman" w:cstheme="minorHAnsi"/>
          <w:bCs/>
          <w:kern w:val="0"/>
          <w:sz w:val="24"/>
          <w:szCs w:val="24"/>
          <w:lang w:eastAsia="nl-NL"/>
          <w14:ligatures w14:val="none"/>
        </w:rPr>
        <w:t>Pensioenfonds TNO sluit directe beleggingen in sommige bedrijven en landen uit</w:t>
      </w:r>
      <w:r w:rsidR="00045574">
        <w:rPr>
          <w:rFonts w:eastAsia="Times New Roman" w:cstheme="minorHAnsi"/>
          <w:bCs/>
          <w:kern w:val="0"/>
          <w:sz w:val="24"/>
          <w:szCs w:val="24"/>
          <w:lang w:eastAsia="nl-NL"/>
          <w14:ligatures w14:val="none"/>
        </w:rPr>
        <w:t>.</w:t>
      </w:r>
    </w:p>
    <w:p w14:paraId="1AEBB8CA" w14:textId="77777777" w:rsidR="00E22CF6" w:rsidRDefault="00045574" w:rsidP="00045574">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We willen niet beleggen in bedrijven die een of meerdere Global Compact principes schenden en ook niet in bedrijven die zich bezighouden met tabak, de controversiële wapenindustrie, fossiele brandstoffen en bedrijven die gesanctioneerd zijn. </w:t>
      </w:r>
    </w:p>
    <w:p w14:paraId="4C0F7EE5" w14:textId="67EA7AB4" w:rsidR="00E22CF6" w:rsidRDefault="00045574" w:rsidP="00045574">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Voor landen geldt dat we niet willen beleggen in die landen die volgens onze dataleverancier ‘</w:t>
      </w:r>
      <w:proofErr w:type="spellStart"/>
      <w:r>
        <w:rPr>
          <w:rFonts w:eastAsia="Times New Roman" w:cstheme="minorHAnsi"/>
          <w:bCs/>
          <w:kern w:val="0"/>
          <w:sz w:val="24"/>
          <w:szCs w:val="24"/>
          <w:lang w:eastAsia="nl-NL"/>
          <w14:ligatures w14:val="none"/>
        </w:rPr>
        <w:t>Freedom</w:t>
      </w:r>
      <w:proofErr w:type="spellEnd"/>
      <w:r>
        <w:rPr>
          <w:rFonts w:eastAsia="Times New Roman" w:cstheme="minorHAnsi"/>
          <w:bCs/>
          <w:kern w:val="0"/>
          <w:sz w:val="24"/>
          <w:szCs w:val="24"/>
          <w:lang w:eastAsia="nl-NL"/>
          <w14:ligatures w14:val="none"/>
        </w:rPr>
        <w:t xml:space="preserve"> House’ als ‘</w:t>
      </w:r>
      <w:proofErr w:type="spellStart"/>
      <w:r>
        <w:rPr>
          <w:rFonts w:eastAsia="Times New Roman" w:cstheme="minorHAnsi"/>
          <w:bCs/>
          <w:kern w:val="0"/>
          <w:sz w:val="24"/>
          <w:szCs w:val="24"/>
          <w:lang w:eastAsia="nl-NL"/>
          <w14:ligatures w14:val="none"/>
        </w:rPr>
        <w:t>Not</w:t>
      </w:r>
      <w:proofErr w:type="spellEnd"/>
      <w:r>
        <w:rPr>
          <w:rFonts w:eastAsia="Times New Roman" w:cstheme="minorHAnsi"/>
          <w:bCs/>
          <w:kern w:val="0"/>
          <w:sz w:val="24"/>
          <w:szCs w:val="24"/>
          <w:lang w:eastAsia="nl-NL"/>
          <w14:ligatures w14:val="none"/>
        </w:rPr>
        <w:t xml:space="preserve"> Free’</w:t>
      </w:r>
      <w:r w:rsidR="00BF48E9">
        <w:rPr>
          <w:rFonts w:eastAsia="Times New Roman" w:cstheme="minorHAnsi"/>
          <w:bCs/>
          <w:kern w:val="0"/>
          <w:sz w:val="24"/>
          <w:szCs w:val="24"/>
          <w:lang w:eastAsia="nl-NL"/>
          <w14:ligatures w14:val="none"/>
        </w:rPr>
        <w:t xml:space="preserve"> </w:t>
      </w:r>
      <w:r>
        <w:rPr>
          <w:rFonts w:eastAsia="Times New Roman" w:cstheme="minorHAnsi"/>
          <w:bCs/>
          <w:kern w:val="0"/>
          <w:sz w:val="24"/>
          <w:szCs w:val="24"/>
          <w:lang w:eastAsia="nl-NL"/>
          <w14:ligatures w14:val="none"/>
        </w:rPr>
        <w:t>worden aangemerkt</w:t>
      </w:r>
      <w:r w:rsidR="00E22CF6">
        <w:rPr>
          <w:rFonts w:eastAsia="Times New Roman" w:cstheme="minorHAnsi"/>
          <w:bCs/>
          <w:kern w:val="0"/>
          <w:sz w:val="24"/>
          <w:szCs w:val="24"/>
          <w:lang w:eastAsia="nl-NL"/>
          <w14:ligatures w14:val="none"/>
        </w:rPr>
        <w:t xml:space="preserve"> of waar sancties aan opgelegd zijn.</w:t>
      </w:r>
    </w:p>
    <w:p w14:paraId="71D7E119" w14:textId="1CA7F003" w:rsidR="006B1A17" w:rsidRPr="00BA223B" w:rsidRDefault="006B1A17" w:rsidP="00045574">
      <w:pPr>
        <w:spacing w:after="0" w:line="240" w:lineRule="auto"/>
        <w:rPr>
          <w:rFonts w:eastAsia="Times New Roman" w:cstheme="minorHAnsi"/>
          <w:bCs/>
          <w:kern w:val="0"/>
          <w:sz w:val="24"/>
          <w:szCs w:val="24"/>
          <w:lang w:eastAsia="nl-NL"/>
          <w14:ligatures w14:val="none"/>
        </w:rPr>
      </w:pPr>
      <w:r w:rsidRPr="00BA223B">
        <w:rPr>
          <w:rFonts w:eastAsia="Times New Roman" w:cstheme="minorHAnsi"/>
          <w:bCs/>
          <w:kern w:val="0"/>
          <w:sz w:val="24"/>
          <w:szCs w:val="24"/>
          <w:lang w:eastAsia="nl-NL"/>
          <w14:ligatures w14:val="none"/>
        </w:rPr>
        <w:t xml:space="preserve">In </w:t>
      </w:r>
      <w:r w:rsidRPr="00BA223B">
        <w:rPr>
          <w:rFonts w:eastAsia="Times New Roman" w:cstheme="minorHAnsi"/>
          <w:b/>
          <w:kern w:val="0"/>
          <w:sz w:val="24"/>
          <w:szCs w:val="24"/>
          <w:lang w:eastAsia="nl-NL"/>
          <w14:ligatures w14:val="none"/>
        </w:rPr>
        <w:t>tabel 1</w:t>
      </w:r>
      <w:r w:rsidRPr="00BA223B">
        <w:rPr>
          <w:rFonts w:eastAsia="Times New Roman" w:cstheme="minorHAnsi"/>
          <w:bCs/>
          <w:kern w:val="0"/>
          <w:sz w:val="24"/>
          <w:szCs w:val="24"/>
          <w:lang w:eastAsia="nl-NL"/>
          <w14:ligatures w14:val="none"/>
        </w:rPr>
        <w:t xml:space="preserve"> zien we </w:t>
      </w:r>
      <w:r w:rsidR="00045574">
        <w:rPr>
          <w:rFonts w:eastAsia="Times New Roman" w:cstheme="minorHAnsi"/>
          <w:bCs/>
          <w:kern w:val="0"/>
          <w:sz w:val="24"/>
          <w:szCs w:val="24"/>
          <w:lang w:eastAsia="nl-NL"/>
          <w14:ligatures w14:val="none"/>
        </w:rPr>
        <w:t xml:space="preserve">de precieze </w:t>
      </w:r>
      <w:r w:rsidRPr="00BA223B">
        <w:rPr>
          <w:rFonts w:eastAsia="Times New Roman" w:cstheme="minorHAnsi"/>
          <w:bCs/>
          <w:kern w:val="0"/>
          <w:sz w:val="24"/>
          <w:szCs w:val="24"/>
          <w:lang w:eastAsia="nl-NL"/>
          <w14:ligatures w14:val="none"/>
        </w:rPr>
        <w:t xml:space="preserve">criteria en hoeveel ondernemingen en landen eind </w:t>
      </w:r>
      <w:r w:rsidR="002C6289">
        <w:rPr>
          <w:rFonts w:eastAsia="Times New Roman" w:cstheme="minorHAnsi"/>
          <w:bCs/>
          <w:kern w:val="0"/>
          <w:sz w:val="24"/>
          <w:szCs w:val="24"/>
          <w:lang w:eastAsia="nl-NL"/>
          <w14:ligatures w14:val="none"/>
        </w:rPr>
        <w:t>december</w:t>
      </w:r>
      <w:r w:rsidRPr="00BA223B">
        <w:rPr>
          <w:rFonts w:eastAsia="Times New Roman" w:cstheme="minorHAnsi"/>
          <w:bCs/>
          <w:kern w:val="0"/>
          <w:sz w:val="24"/>
          <w:szCs w:val="24"/>
          <w:lang w:eastAsia="nl-NL"/>
          <w14:ligatures w14:val="none"/>
        </w:rPr>
        <w:t xml:space="preserve"> 2025 zijn uitgesloten.</w:t>
      </w:r>
    </w:p>
    <w:p w14:paraId="01E368A8" w14:textId="77777777" w:rsidR="006B1A17" w:rsidRPr="007D6D1D" w:rsidRDefault="006B1A17" w:rsidP="00045574">
      <w:pPr>
        <w:spacing w:after="0" w:line="240" w:lineRule="auto"/>
        <w:rPr>
          <w:rFonts w:ascii="Times New Roman" w:eastAsia="Times New Roman" w:hAnsi="Times New Roman" w:cs="Times New Roman"/>
          <w:b/>
          <w:bCs/>
          <w:kern w:val="0"/>
          <w:sz w:val="24"/>
          <w:szCs w:val="24"/>
          <w:u w:val="single"/>
          <w:lang w:eastAsia="nl-NL"/>
          <w14:ligatures w14:val="none"/>
        </w:rPr>
      </w:pPr>
    </w:p>
    <w:p w14:paraId="60068F5D" w14:textId="102EC5C8" w:rsidR="002436A8" w:rsidRDefault="006B1A17" w:rsidP="00045574">
      <w:pPr>
        <w:spacing w:after="0" w:line="240" w:lineRule="auto"/>
        <w:rPr>
          <w:rFonts w:eastAsia="Times New Roman" w:cstheme="minorHAnsi"/>
          <w:bCs/>
          <w:kern w:val="0"/>
          <w:sz w:val="24"/>
          <w:szCs w:val="24"/>
          <w:lang w:eastAsia="nl-NL"/>
          <w14:ligatures w14:val="none"/>
        </w:rPr>
      </w:pPr>
      <w:r w:rsidRPr="00BA223B">
        <w:rPr>
          <w:rFonts w:eastAsia="Times New Roman" w:cstheme="minorHAnsi"/>
          <w:bCs/>
          <w:kern w:val="0"/>
          <w:sz w:val="24"/>
          <w:szCs w:val="24"/>
          <w:lang w:eastAsia="nl-NL"/>
          <w14:ligatures w14:val="none"/>
        </w:rPr>
        <w:t xml:space="preserve">In vergelijking met vorige kwartaal zien we dat op totaalniveau het aantal bedrijfsuitsluitingen is </w:t>
      </w:r>
      <w:r w:rsidR="00245761">
        <w:rPr>
          <w:rFonts w:eastAsia="Times New Roman" w:cstheme="minorHAnsi"/>
          <w:bCs/>
          <w:kern w:val="0"/>
          <w:sz w:val="24"/>
          <w:szCs w:val="24"/>
          <w:lang w:eastAsia="nl-NL"/>
          <w14:ligatures w14:val="none"/>
        </w:rPr>
        <w:t>gedaald</w:t>
      </w:r>
      <w:r>
        <w:rPr>
          <w:rFonts w:eastAsia="Times New Roman" w:cstheme="minorHAnsi"/>
          <w:bCs/>
          <w:kern w:val="0"/>
          <w:sz w:val="24"/>
          <w:szCs w:val="24"/>
          <w:lang w:eastAsia="nl-NL"/>
          <w14:ligatures w14:val="none"/>
        </w:rPr>
        <w:t xml:space="preserve"> </w:t>
      </w:r>
      <w:r w:rsidRPr="00BA223B">
        <w:rPr>
          <w:rFonts w:eastAsia="Times New Roman" w:cstheme="minorHAnsi"/>
          <w:bCs/>
          <w:kern w:val="0"/>
          <w:sz w:val="24"/>
          <w:szCs w:val="24"/>
          <w:lang w:eastAsia="nl-NL"/>
          <w14:ligatures w14:val="none"/>
        </w:rPr>
        <w:t>van 6</w:t>
      </w:r>
      <w:r w:rsidR="00245761">
        <w:rPr>
          <w:rFonts w:eastAsia="Times New Roman" w:cstheme="minorHAnsi"/>
          <w:bCs/>
          <w:kern w:val="0"/>
          <w:sz w:val="24"/>
          <w:szCs w:val="24"/>
          <w:lang w:eastAsia="nl-NL"/>
          <w14:ligatures w14:val="none"/>
        </w:rPr>
        <w:t>83</w:t>
      </w:r>
      <w:r w:rsidRPr="00BA223B">
        <w:rPr>
          <w:rFonts w:eastAsia="Times New Roman" w:cstheme="minorHAnsi"/>
          <w:bCs/>
          <w:kern w:val="0"/>
          <w:sz w:val="24"/>
          <w:szCs w:val="24"/>
          <w:lang w:eastAsia="nl-NL"/>
          <w14:ligatures w14:val="none"/>
        </w:rPr>
        <w:t xml:space="preserve"> </w:t>
      </w:r>
      <w:r w:rsidR="00E22CF6">
        <w:rPr>
          <w:rFonts w:eastAsia="Times New Roman" w:cstheme="minorHAnsi"/>
          <w:bCs/>
          <w:kern w:val="0"/>
          <w:sz w:val="24"/>
          <w:szCs w:val="24"/>
          <w:lang w:eastAsia="nl-NL"/>
          <w14:ligatures w14:val="none"/>
        </w:rPr>
        <w:t>p</w:t>
      </w:r>
      <w:r w:rsidRPr="00BA223B">
        <w:rPr>
          <w:rFonts w:eastAsia="Times New Roman" w:cstheme="minorHAnsi"/>
          <w:bCs/>
          <w:kern w:val="0"/>
          <w:sz w:val="24"/>
          <w:szCs w:val="24"/>
          <w:lang w:eastAsia="nl-NL"/>
          <w14:ligatures w14:val="none"/>
        </w:rPr>
        <w:t xml:space="preserve">er eind </w:t>
      </w:r>
      <w:r w:rsidR="00245761">
        <w:rPr>
          <w:rFonts w:eastAsia="Times New Roman" w:cstheme="minorHAnsi"/>
          <w:bCs/>
          <w:kern w:val="0"/>
          <w:sz w:val="24"/>
          <w:szCs w:val="24"/>
          <w:lang w:eastAsia="nl-NL"/>
          <w14:ligatures w14:val="none"/>
        </w:rPr>
        <w:t>september</w:t>
      </w:r>
      <w:r w:rsidRPr="00BA223B">
        <w:rPr>
          <w:rFonts w:eastAsia="Times New Roman" w:cstheme="minorHAnsi"/>
          <w:bCs/>
          <w:kern w:val="0"/>
          <w:sz w:val="24"/>
          <w:szCs w:val="24"/>
          <w:lang w:eastAsia="nl-NL"/>
          <w14:ligatures w14:val="none"/>
        </w:rPr>
        <w:t xml:space="preserve"> 2025</w:t>
      </w:r>
      <w:r w:rsidR="00E22CF6">
        <w:rPr>
          <w:rFonts w:eastAsia="Times New Roman" w:cstheme="minorHAnsi"/>
          <w:bCs/>
          <w:kern w:val="0"/>
          <w:sz w:val="24"/>
          <w:szCs w:val="24"/>
          <w:lang w:eastAsia="nl-NL"/>
          <w14:ligatures w14:val="none"/>
        </w:rPr>
        <w:t xml:space="preserve"> naar 6</w:t>
      </w:r>
      <w:r w:rsidR="00245761">
        <w:rPr>
          <w:rFonts w:eastAsia="Times New Roman" w:cstheme="minorHAnsi"/>
          <w:bCs/>
          <w:kern w:val="0"/>
          <w:sz w:val="24"/>
          <w:szCs w:val="24"/>
          <w:lang w:eastAsia="nl-NL"/>
          <w14:ligatures w14:val="none"/>
        </w:rPr>
        <w:t>56</w:t>
      </w:r>
      <w:r w:rsidR="00E22CF6">
        <w:rPr>
          <w:rFonts w:eastAsia="Times New Roman" w:cstheme="minorHAnsi"/>
          <w:bCs/>
          <w:kern w:val="0"/>
          <w:sz w:val="24"/>
          <w:szCs w:val="24"/>
          <w:lang w:eastAsia="nl-NL"/>
          <w14:ligatures w14:val="none"/>
        </w:rPr>
        <w:t xml:space="preserve"> aan het einde van het </w:t>
      </w:r>
      <w:r w:rsidR="00245761">
        <w:rPr>
          <w:rFonts w:eastAsia="Times New Roman" w:cstheme="minorHAnsi"/>
          <w:bCs/>
          <w:kern w:val="0"/>
          <w:sz w:val="24"/>
          <w:szCs w:val="24"/>
          <w:lang w:eastAsia="nl-NL"/>
          <w14:ligatures w14:val="none"/>
        </w:rPr>
        <w:t>vierde</w:t>
      </w:r>
      <w:r w:rsidR="00E22CF6">
        <w:rPr>
          <w:rFonts w:eastAsia="Times New Roman" w:cstheme="minorHAnsi"/>
          <w:bCs/>
          <w:kern w:val="0"/>
          <w:sz w:val="24"/>
          <w:szCs w:val="24"/>
          <w:lang w:eastAsia="nl-NL"/>
          <w14:ligatures w14:val="none"/>
        </w:rPr>
        <w:t xml:space="preserve"> kwartaal.</w:t>
      </w:r>
      <w:r w:rsidR="001E07B2">
        <w:rPr>
          <w:rFonts w:eastAsia="Times New Roman" w:cstheme="minorHAnsi"/>
          <w:bCs/>
          <w:kern w:val="0"/>
          <w:sz w:val="24"/>
          <w:szCs w:val="24"/>
          <w:lang w:eastAsia="nl-NL"/>
          <w14:ligatures w14:val="none"/>
        </w:rPr>
        <w:t xml:space="preserve"> De verschillen per categorie zijn beperkt</w:t>
      </w:r>
      <w:r w:rsidR="00245761">
        <w:rPr>
          <w:rFonts w:eastAsia="Times New Roman" w:cstheme="minorHAnsi"/>
          <w:bCs/>
          <w:kern w:val="0"/>
          <w:sz w:val="24"/>
          <w:szCs w:val="24"/>
          <w:lang w:eastAsia="nl-NL"/>
          <w14:ligatures w14:val="none"/>
        </w:rPr>
        <w:t>, de grootste verschuiving zien we in de categorie ‘Niet traditioneel fossiel’. Daar zijn per saldo 16 bedrijven weer toegelaten, omdat zij inmiddels minder dan 5% van hun omzet behalen uit deze activiteiten.</w:t>
      </w:r>
    </w:p>
    <w:p w14:paraId="10C778CC" w14:textId="702575A6" w:rsidR="00BF48E9" w:rsidRDefault="00BF48E9" w:rsidP="00045574">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Op landenniveau </w:t>
      </w:r>
      <w:r w:rsidR="001E07B2">
        <w:rPr>
          <w:rFonts w:eastAsia="Times New Roman" w:cstheme="minorHAnsi"/>
          <w:bCs/>
          <w:kern w:val="0"/>
          <w:sz w:val="24"/>
          <w:szCs w:val="24"/>
          <w:lang w:eastAsia="nl-NL"/>
          <w14:ligatures w14:val="none"/>
        </w:rPr>
        <w:t>staan er in totaal 6</w:t>
      </w:r>
      <w:r w:rsidR="00245761">
        <w:rPr>
          <w:rFonts w:eastAsia="Times New Roman" w:cstheme="minorHAnsi"/>
          <w:bCs/>
          <w:kern w:val="0"/>
          <w:sz w:val="24"/>
          <w:szCs w:val="24"/>
          <w:lang w:eastAsia="nl-NL"/>
          <w14:ligatures w14:val="none"/>
        </w:rPr>
        <w:t>0</w:t>
      </w:r>
      <w:r w:rsidR="001E07B2">
        <w:rPr>
          <w:rFonts w:eastAsia="Times New Roman" w:cstheme="minorHAnsi"/>
          <w:bCs/>
          <w:kern w:val="0"/>
          <w:sz w:val="24"/>
          <w:szCs w:val="24"/>
          <w:lang w:eastAsia="nl-NL"/>
          <w14:ligatures w14:val="none"/>
        </w:rPr>
        <w:t xml:space="preserve"> landen op de uitsluitingslijst. </w:t>
      </w:r>
      <w:r w:rsidR="00245761">
        <w:rPr>
          <w:rFonts w:eastAsia="Times New Roman" w:cstheme="minorHAnsi"/>
          <w:bCs/>
          <w:kern w:val="0"/>
          <w:sz w:val="24"/>
          <w:szCs w:val="24"/>
          <w:lang w:eastAsia="nl-NL"/>
          <w14:ligatures w14:val="none"/>
        </w:rPr>
        <w:t>Eén land is op zich ‘</w:t>
      </w:r>
      <w:proofErr w:type="spellStart"/>
      <w:r w:rsidR="00245761">
        <w:rPr>
          <w:rFonts w:eastAsia="Times New Roman" w:cstheme="minorHAnsi"/>
          <w:bCs/>
          <w:kern w:val="0"/>
          <w:sz w:val="24"/>
          <w:szCs w:val="24"/>
          <w:lang w:eastAsia="nl-NL"/>
          <w14:ligatures w14:val="none"/>
        </w:rPr>
        <w:t>Partially</w:t>
      </w:r>
      <w:proofErr w:type="spellEnd"/>
      <w:r w:rsidR="00245761">
        <w:rPr>
          <w:rFonts w:eastAsia="Times New Roman" w:cstheme="minorHAnsi"/>
          <w:bCs/>
          <w:kern w:val="0"/>
          <w:sz w:val="24"/>
          <w:szCs w:val="24"/>
          <w:lang w:eastAsia="nl-NL"/>
          <w14:ligatures w14:val="none"/>
        </w:rPr>
        <w:t xml:space="preserve"> Free’ (Libanon), maar daar rusten vanuit de EU en de </w:t>
      </w:r>
      <w:proofErr w:type="gramStart"/>
      <w:r w:rsidR="00245761">
        <w:rPr>
          <w:rFonts w:eastAsia="Times New Roman" w:cstheme="minorHAnsi"/>
          <w:bCs/>
          <w:kern w:val="0"/>
          <w:sz w:val="24"/>
          <w:szCs w:val="24"/>
          <w:lang w:eastAsia="nl-NL"/>
          <w14:ligatures w14:val="none"/>
        </w:rPr>
        <w:t>VN sancties</w:t>
      </w:r>
      <w:proofErr w:type="gramEnd"/>
      <w:r w:rsidR="00245761">
        <w:rPr>
          <w:rFonts w:eastAsia="Times New Roman" w:cstheme="minorHAnsi"/>
          <w:bCs/>
          <w:kern w:val="0"/>
          <w:sz w:val="24"/>
          <w:szCs w:val="24"/>
          <w:lang w:eastAsia="nl-NL"/>
          <w14:ligatures w14:val="none"/>
        </w:rPr>
        <w:t xml:space="preserve"> op.</w:t>
      </w:r>
    </w:p>
    <w:p w14:paraId="6AE505DC" w14:textId="77777777" w:rsidR="001E07B2" w:rsidRDefault="001E07B2" w:rsidP="00045574">
      <w:pPr>
        <w:spacing w:after="0" w:line="240" w:lineRule="auto"/>
        <w:rPr>
          <w:rFonts w:eastAsia="Times New Roman" w:cstheme="minorHAnsi"/>
          <w:bCs/>
          <w:kern w:val="0"/>
          <w:sz w:val="24"/>
          <w:szCs w:val="24"/>
          <w:lang w:eastAsia="nl-NL"/>
          <w14:ligatures w14:val="none"/>
        </w:rPr>
      </w:pPr>
    </w:p>
    <w:p w14:paraId="19694A51" w14:textId="5B3254C2" w:rsidR="006B1A17" w:rsidRDefault="00BF48E9" w:rsidP="00045574">
      <w:pPr>
        <w:spacing w:after="0" w:line="240" w:lineRule="auto"/>
        <w:jc w:val="both"/>
        <w:rPr>
          <w:rFonts w:eastAsia="Times New Roman" w:cstheme="minorHAnsi"/>
          <w:b/>
          <w:bCs/>
          <w:kern w:val="0"/>
          <w:sz w:val="24"/>
          <w:szCs w:val="24"/>
          <w:lang w:eastAsia="nl-NL"/>
          <w14:ligatures w14:val="none"/>
        </w:rPr>
      </w:pPr>
      <w:r>
        <w:rPr>
          <w:rFonts w:eastAsia="Times New Roman" w:cstheme="minorHAnsi"/>
          <w:b/>
          <w:bCs/>
          <w:kern w:val="0"/>
          <w:sz w:val="24"/>
          <w:szCs w:val="24"/>
          <w:lang w:eastAsia="nl-NL"/>
          <w14:ligatures w14:val="none"/>
        </w:rPr>
        <w:t>T</w:t>
      </w:r>
      <w:r w:rsidR="006B1A17" w:rsidRPr="00E87750">
        <w:rPr>
          <w:rFonts w:eastAsia="Times New Roman" w:cstheme="minorHAnsi"/>
          <w:b/>
          <w:bCs/>
          <w:kern w:val="0"/>
          <w:sz w:val="24"/>
          <w:szCs w:val="24"/>
          <w:lang w:eastAsia="nl-NL"/>
          <w14:ligatures w14:val="none"/>
        </w:rPr>
        <w:t xml:space="preserve">abel 1: Aantal uitgesloten bedrijven en landen ultimo </w:t>
      </w:r>
      <w:r w:rsidR="00245761">
        <w:rPr>
          <w:rFonts w:eastAsia="Times New Roman" w:cstheme="minorHAnsi"/>
          <w:b/>
          <w:bCs/>
          <w:kern w:val="0"/>
          <w:sz w:val="24"/>
          <w:szCs w:val="24"/>
          <w:lang w:eastAsia="nl-NL"/>
          <w14:ligatures w14:val="none"/>
        </w:rPr>
        <w:t>december</w:t>
      </w:r>
      <w:r w:rsidR="006B1A17" w:rsidRPr="00E87750">
        <w:rPr>
          <w:rFonts w:eastAsia="Times New Roman" w:cstheme="minorHAnsi"/>
          <w:b/>
          <w:bCs/>
          <w:kern w:val="0"/>
          <w:sz w:val="24"/>
          <w:szCs w:val="24"/>
          <w:lang w:eastAsia="nl-NL"/>
          <w14:ligatures w14:val="none"/>
        </w:rPr>
        <w:t xml:space="preserve"> 2025</w:t>
      </w:r>
    </w:p>
    <w:p w14:paraId="656E4581" w14:textId="76B6BB46" w:rsidR="00045574" w:rsidRDefault="00045574" w:rsidP="00045574">
      <w:pPr>
        <w:spacing w:after="0" w:line="240" w:lineRule="auto"/>
        <w:jc w:val="both"/>
        <w:rPr>
          <w:rFonts w:eastAsia="Times New Roman" w:cstheme="minorHAnsi"/>
          <w:bCs/>
          <w:kern w:val="0"/>
          <w:sz w:val="24"/>
          <w:szCs w:val="24"/>
          <w:lang w:eastAsia="nl-NL"/>
          <w14:ligatures w14:val="none"/>
        </w:rPr>
      </w:pPr>
    </w:p>
    <w:p w14:paraId="7C6EA38B" w14:textId="4B6E88A5" w:rsidR="00BF48E9" w:rsidRDefault="00245761">
      <w:pPr>
        <w:rPr>
          <w:rFonts w:eastAsia="Times New Roman" w:cstheme="minorHAnsi"/>
          <w:b/>
          <w:kern w:val="0"/>
          <w:sz w:val="24"/>
          <w:szCs w:val="24"/>
          <w:lang w:eastAsia="nl-NL"/>
          <w14:ligatures w14:val="none"/>
        </w:rPr>
      </w:pPr>
      <w:r w:rsidRPr="00245761">
        <w:rPr>
          <w:rFonts w:eastAsia="Times New Roman" w:cstheme="minorHAnsi"/>
          <w:b/>
          <w:noProof/>
          <w:kern w:val="0"/>
          <w:sz w:val="24"/>
          <w:szCs w:val="24"/>
          <w:lang w:eastAsia="nl-NL"/>
          <w14:ligatures w14:val="none"/>
        </w:rPr>
        <w:drawing>
          <wp:inline distT="0" distB="0" distL="0" distR="0" wp14:anchorId="6A7D110F" wp14:editId="4F7E360D">
            <wp:extent cx="6060186" cy="3978876"/>
            <wp:effectExtent l="0" t="0" r="0" b="3175"/>
            <wp:docPr id="1539961259" name="Picture 1" descr="A screenshot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61259" name="Picture 1" descr="A screenshot of a document"/>
                    <pic:cNvPicPr/>
                  </pic:nvPicPr>
                  <pic:blipFill>
                    <a:blip r:embed="rId13"/>
                    <a:stretch>
                      <a:fillRect/>
                    </a:stretch>
                  </pic:blipFill>
                  <pic:spPr>
                    <a:xfrm>
                      <a:off x="0" y="0"/>
                      <a:ext cx="6067624" cy="3983760"/>
                    </a:xfrm>
                    <a:prstGeom prst="rect">
                      <a:avLst/>
                    </a:prstGeom>
                  </pic:spPr>
                </pic:pic>
              </a:graphicData>
            </a:graphic>
          </wp:inline>
        </w:drawing>
      </w:r>
      <w:r w:rsidR="00BF48E9">
        <w:rPr>
          <w:rFonts w:eastAsia="Times New Roman" w:cstheme="minorHAnsi"/>
          <w:b/>
          <w:kern w:val="0"/>
          <w:sz w:val="24"/>
          <w:szCs w:val="24"/>
          <w:lang w:eastAsia="nl-NL"/>
          <w14:ligatures w14:val="none"/>
        </w:rPr>
        <w:br w:type="page"/>
      </w:r>
    </w:p>
    <w:p w14:paraId="2FFA702B" w14:textId="77777777" w:rsidR="007C152B" w:rsidRPr="00764CE9" w:rsidRDefault="007C152B" w:rsidP="00495BA5">
      <w:pPr>
        <w:spacing w:after="0" w:line="240" w:lineRule="auto"/>
        <w:jc w:val="both"/>
        <w:rPr>
          <w:rFonts w:eastAsia="Times New Roman" w:cstheme="minorHAnsi"/>
          <w:b/>
          <w:kern w:val="0"/>
          <w:sz w:val="24"/>
          <w:szCs w:val="24"/>
          <w:lang w:eastAsia="nl-NL"/>
          <w14:ligatures w14:val="none"/>
        </w:rPr>
      </w:pPr>
    </w:p>
    <w:p w14:paraId="0A98F356" w14:textId="47B63A5F" w:rsidR="00B23632" w:rsidRPr="00764CE9" w:rsidRDefault="00B23632" w:rsidP="00764CE9">
      <w:pPr>
        <w:spacing w:after="0" w:line="240" w:lineRule="auto"/>
        <w:jc w:val="both"/>
        <w:rPr>
          <w:rFonts w:eastAsia="Times New Roman" w:cstheme="minorHAnsi"/>
          <w:b/>
          <w:kern w:val="0"/>
          <w:sz w:val="28"/>
          <w:szCs w:val="28"/>
          <w:u w:val="single"/>
          <w:lang w:eastAsia="nl-NL"/>
          <w14:ligatures w14:val="none"/>
        </w:rPr>
      </w:pPr>
      <w:r w:rsidRPr="00764CE9">
        <w:rPr>
          <w:rFonts w:eastAsia="Times New Roman" w:cstheme="minorHAnsi"/>
          <w:b/>
          <w:kern w:val="0"/>
          <w:sz w:val="28"/>
          <w:szCs w:val="28"/>
          <w:u w:val="single"/>
          <w:lang w:eastAsia="nl-NL"/>
          <w14:ligatures w14:val="none"/>
        </w:rPr>
        <w:t>Voortgang CO</w:t>
      </w:r>
      <w:r w:rsidRPr="00764CE9">
        <w:rPr>
          <w:rFonts w:eastAsia="Times New Roman" w:cstheme="minorHAnsi"/>
          <w:b/>
          <w:kern w:val="0"/>
          <w:sz w:val="28"/>
          <w:szCs w:val="28"/>
          <w:u w:val="single"/>
          <w:vertAlign w:val="subscript"/>
          <w:lang w:eastAsia="nl-NL"/>
          <w14:ligatures w14:val="none"/>
        </w:rPr>
        <w:t>2</w:t>
      </w:r>
      <w:r w:rsidR="002C5D4D" w:rsidRPr="00764CE9">
        <w:rPr>
          <w:rFonts w:eastAsia="Times New Roman" w:cstheme="minorHAnsi"/>
          <w:b/>
          <w:kern w:val="0"/>
          <w:sz w:val="28"/>
          <w:szCs w:val="28"/>
          <w:u w:val="single"/>
          <w:vertAlign w:val="subscript"/>
          <w:lang w:eastAsia="nl-NL"/>
          <w14:ligatures w14:val="none"/>
        </w:rPr>
        <w:t>e</w:t>
      </w:r>
      <w:r w:rsidRPr="00764CE9">
        <w:rPr>
          <w:rFonts w:eastAsia="Times New Roman" w:cstheme="minorHAnsi"/>
          <w:b/>
          <w:kern w:val="0"/>
          <w:sz w:val="28"/>
          <w:szCs w:val="28"/>
          <w:u w:val="single"/>
          <w:lang w:eastAsia="nl-NL"/>
          <w14:ligatures w14:val="none"/>
        </w:rPr>
        <w:t>-reductie</w:t>
      </w:r>
      <w:r w:rsidR="007D6D1D" w:rsidRPr="00764CE9">
        <w:rPr>
          <w:rFonts w:eastAsia="Times New Roman" w:cstheme="minorHAnsi"/>
          <w:b/>
          <w:kern w:val="0"/>
          <w:sz w:val="28"/>
          <w:szCs w:val="28"/>
          <w:u w:val="single"/>
          <w:lang w:eastAsia="nl-NL"/>
          <w14:ligatures w14:val="none"/>
        </w:rPr>
        <w:t xml:space="preserve"> </w:t>
      </w:r>
    </w:p>
    <w:p w14:paraId="28BBD45B" w14:textId="77777777" w:rsidR="00B23632" w:rsidRPr="00764CE9" w:rsidRDefault="00B23632" w:rsidP="00B23632">
      <w:pPr>
        <w:spacing w:after="0" w:line="240" w:lineRule="auto"/>
        <w:jc w:val="both"/>
        <w:rPr>
          <w:rFonts w:eastAsia="Times New Roman" w:cstheme="minorHAnsi"/>
          <w:b/>
          <w:kern w:val="0"/>
          <w:sz w:val="28"/>
          <w:szCs w:val="28"/>
          <w:u w:val="single"/>
          <w:lang w:eastAsia="nl-NL"/>
          <w14:ligatures w14:val="none"/>
        </w:rPr>
      </w:pPr>
    </w:p>
    <w:p w14:paraId="5258CD10" w14:textId="7D921C18" w:rsidR="00FA0A9E" w:rsidRPr="00764CE9" w:rsidRDefault="00764CE9" w:rsidP="00690F44">
      <w:pPr>
        <w:spacing w:after="0" w:line="240" w:lineRule="auto"/>
        <w:rPr>
          <w:rFonts w:eastAsia="Times New Roman" w:cstheme="minorHAnsi"/>
          <w:bCs/>
          <w:kern w:val="0"/>
          <w:sz w:val="24"/>
          <w:szCs w:val="24"/>
          <w:lang w:eastAsia="nl-NL"/>
          <w14:ligatures w14:val="none"/>
        </w:rPr>
      </w:pPr>
      <w:r w:rsidRPr="00764CE9">
        <w:rPr>
          <w:rFonts w:eastAsia="Times New Roman" w:cstheme="minorHAnsi"/>
          <w:bCs/>
          <w:kern w:val="0"/>
          <w:sz w:val="24"/>
          <w:szCs w:val="24"/>
          <w:lang w:eastAsia="nl-NL"/>
          <w14:ligatures w14:val="none"/>
        </w:rPr>
        <w:t xml:space="preserve">Pensioenfonds TNO heeft in het duurzaamheidsbeleid </w:t>
      </w:r>
      <w:r w:rsidR="00495BA5">
        <w:rPr>
          <w:rFonts w:eastAsia="Times New Roman" w:cstheme="minorHAnsi"/>
          <w:bCs/>
          <w:kern w:val="0"/>
          <w:sz w:val="24"/>
          <w:szCs w:val="24"/>
          <w:lang w:eastAsia="nl-NL"/>
          <w14:ligatures w14:val="none"/>
        </w:rPr>
        <w:t>de klimaatdoelen van Parijs (2015) als uitgangspunt</w:t>
      </w:r>
      <w:r w:rsidR="00632540">
        <w:rPr>
          <w:rFonts w:eastAsia="Times New Roman" w:cstheme="minorHAnsi"/>
          <w:bCs/>
          <w:kern w:val="0"/>
          <w:sz w:val="24"/>
          <w:szCs w:val="24"/>
          <w:lang w:eastAsia="nl-NL"/>
          <w14:ligatures w14:val="none"/>
        </w:rPr>
        <w:t xml:space="preserve">. </w:t>
      </w:r>
      <w:r w:rsidR="00690F44">
        <w:rPr>
          <w:rFonts w:eastAsia="Times New Roman" w:cstheme="minorHAnsi"/>
          <w:bCs/>
          <w:kern w:val="0"/>
          <w:sz w:val="24"/>
          <w:szCs w:val="24"/>
          <w:lang w:eastAsia="nl-NL"/>
          <w14:ligatures w14:val="none"/>
        </w:rPr>
        <w:t xml:space="preserve">Een van de doelstellingen </w:t>
      </w:r>
      <w:r w:rsidR="00495BA5">
        <w:rPr>
          <w:rFonts w:eastAsia="Times New Roman" w:cstheme="minorHAnsi"/>
          <w:bCs/>
          <w:kern w:val="0"/>
          <w:sz w:val="24"/>
          <w:szCs w:val="24"/>
          <w:lang w:eastAsia="nl-NL"/>
          <w14:ligatures w14:val="none"/>
        </w:rPr>
        <w:t xml:space="preserve">is </w:t>
      </w:r>
      <w:r w:rsidR="00690F44">
        <w:rPr>
          <w:rFonts w:eastAsia="Times New Roman" w:cstheme="minorHAnsi"/>
          <w:bCs/>
          <w:kern w:val="0"/>
          <w:sz w:val="24"/>
          <w:szCs w:val="24"/>
          <w:lang w:eastAsia="nl-NL"/>
          <w14:ligatures w14:val="none"/>
        </w:rPr>
        <w:t>om de opwarming van de aarde te vertragen, door te streven naar een maximale temperatuurstijging van 1,5 graad Celsius</w:t>
      </w:r>
      <w:r w:rsidR="00495BA5">
        <w:rPr>
          <w:rFonts w:eastAsia="Times New Roman" w:cstheme="minorHAnsi"/>
          <w:bCs/>
          <w:kern w:val="0"/>
          <w:sz w:val="24"/>
          <w:szCs w:val="24"/>
          <w:lang w:eastAsia="nl-NL"/>
          <w14:ligatures w14:val="none"/>
        </w:rPr>
        <w:t xml:space="preserve"> in 2050</w:t>
      </w:r>
      <w:r w:rsidR="00690F44">
        <w:rPr>
          <w:rFonts w:eastAsia="Times New Roman" w:cstheme="minorHAnsi"/>
          <w:bCs/>
          <w:kern w:val="0"/>
          <w:sz w:val="24"/>
          <w:szCs w:val="24"/>
          <w:lang w:eastAsia="nl-NL"/>
          <w14:ligatures w14:val="none"/>
        </w:rPr>
        <w:t xml:space="preserve">. Om dit te halen, zou er per jaar een reductie van de </w:t>
      </w:r>
      <w:r w:rsidR="00FA0A9E" w:rsidRPr="00764CE9">
        <w:rPr>
          <w:rFonts w:eastAsia="Times New Roman" w:cstheme="minorHAnsi"/>
          <w:bCs/>
          <w:kern w:val="0"/>
          <w:sz w:val="24"/>
          <w:szCs w:val="24"/>
          <w:lang w:eastAsia="nl-NL"/>
          <w14:ligatures w14:val="none"/>
        </w:rPr>
        <w:t>CO</w:t>
      </w:r>
      <w:r w:rsidR="00FA0A9E" w:rsidRPr="00764CE9">
        <w:rPr>
          <w:rFonts w:eastAsia="Times New Roman" w:cstheme="minorHAnsi"/>
          <w:bCs/>
          <w:kern w:val="0"/>
          <w:sz w:val="24"/>
          <w:szCs w:val="24"/>
          <w:vertAlign w:val="subscript"/>
          <w:lang w:eastAsia="nl-NL"/>
          <w14:ligatures w14:val="none"/>
        </w:rPr>
        <w:t>2</w:t>
      </w:r>
      <w:r w:rsidR="00FA0A9E" w:rsidRPr="00764CE9">
        <w:rPr>
          <w:rFonts w:eastAsia="Times New Roman" w:cstheme="minorHAnsi"/>
          <w:bCs/>
          <w:kern w:val="0"/>
          <w:sz w:val="24"/>
          <w:szCs w:val="24"/>
          <w:lang w:eastAsia="nl-NL"/>
          <w14:ligatures w14:val="none"/>
        </w:rPr>
        <w:t>e</w:t>
      </w:r>
      <w:r w:rsidR="00690F44">
        <w:rPr>
          <w:rFonts w:eastAsia="Times New Roman" w:cstheme="minorHAnsi"/>
          <w:bCs/>
          <w:kern w:val="0"/>
          <w:sz w:val="24"/>
          <w:szCs w:val="24"/>
          <w:lang w:eastAsia="nl-NL"/>
          <w14:ligatures w14:val="none"/>
        </w:rPr>
        <w:t xml:space="preserve"> uitstoot (koolstofdioxide of broeikasgas)</w:t>
      </w:r>
      <w:r w:rsidR="00FA0A9E" w:rsidRPr="00764CE9">
        <w:rPr>
          <w:rFonts w:eastAsia="Times New Roman" w:cstheme="minorHAnsi"/>
          <w:bCs/>
          <w:kern w:val="0"/>
          <w:sz w:val="24"/>
          <w:szCs w:val="24"/>
          <w:lang w:eastAsia="nl-NL"/>
          <w14:ligatures w14:val="none"/>
        </w:rPr>
        <w:t xml:space="preserve"> van ten minste 7% moet worden gerealiseerd. </w:t>
      </w:r>
    </w:p>
    <w:p w14:paraId="5DB9C93A" w14:textId="36758912" w:rsidR="00FA0A9E" w:rsidRPr="00764CE9" w:rsidRDefault="00FA0A9E" w:rsidP="00632540">
      <w:pPr>
        <w:spacing w:after="0" w:line="240" w:lineRule="auto"/>
        <w:rPr>
          <w:rFonts w:eastAsia="Times New Roman" w:cstheme="minorHAnsi"/>
          <w:bCs/>
          <w:kern w:val="0"/>
          <w:sz w:val="24"/>
          <w:szCs w:val="24"/>
          <w:lang w:eastAsia="nl-NL"/>
          <w14:ligatures w14:val="none"/>
        </w:rPr>
      </w:pPr>
    </w:p>
    <w:p w14:paraId="3C8FCD34" w14:textId="04609C16" w:rsidR="003E0888" w:rsidRDefault="00421B8F" w:rsidP="00632540">
      <w:pPr>
        <w:spacing w:after="0" w:line="240" w:lineRule="auto"/>
        <w:rPr>
          <w:rFonts w:eastAsia="Times New Roman" w:cstheme="minorHAnsi"/>
          <w:bCs/>
          <w:kern w:val="0"/>
          <w:sz w:val="24"/>
          <w:szCs w:val="24"/>
          <w:lang w:eastAsia="nl-NL"/>
          <w14:ligatures w14:val="none"/>
        </w:rPr>
      </w:pPr>
      <w:r w:rsidRPr="00764CE9">
        <w:rPr>
          <w:rFonts w:eastAsia="Times New Roman" w:cstheme="minorHAnsi"/>
          <w:bCs/>
          <w:kern w:val="0"/>
          <w:sz w:val="24"/>
          <w:szCs w:val="24"/>
          <w:lang w:eastAsia="nl-NL"/>
          <w14:ligatures w14:val="none"/>
        </w:rPr>
        <w:t>Pensioenfonds TNO meet de CO</w:t>
      </w:r>
      <w:r w:rsidRPr="00764CE9">
        <w:rPr>
          <w:rFonts w:eastAsia="Times New Roman" w:cstheme="minorHAnsi"/>
          <w:bCs/>
          <w:kern w:val="0"/>
          <w:sz w:val="24"/>
          <w:szCs w:val="24"/>
          <w:vertAlign w:val="subscript"/>
          <w:lang w:eastAsia="nl-NL"/>
          <w14:ligatures w14:val="none"/>
        </w:rPr>
        <w:t>2</w:t>
      </w:r>
      <w:r w:rsidR="00BC4ADC" w:rsidRPr="00764CE9">
        <w:rPr>
          <w:rFonts w:eastAsia="Times New Roman" w:cstheme="minorHAnsi"/>
          <w:bCs/>
          <w:kern w:val="0"/>
          <w:sz w:val="24"/>
          <w:szCs w:val="24"/>
          <w:lang w:eastAsia="nl-NL"/>
          <w14:ligatures w14:val="none"/>
        </w:rPr>
        <w:t>e</w:t>
      </w:r>
      <w:r w:rsidRPr="00764CE9">
        <w:rPr>
          <w:rFonts w:eastAsia="Times New Roman" w:cstheme="minorHAnsi"/>
          <w:bCs/>
          <w:kern w:val="0"/>
          <w:sz w:val="24"/>
          <w:szCs w:val="24"/>
          <w:lang w:eastAsia="nl-NL"/>
          <w14:ligatures w14:val="none"/>
        </w:rPr>
        <w:t>-</w:t>
      </w:r>
      <w:r w:rsidR="00BC4ADC" w:rsidRPr="00764CE9">
        <w:rPr>
          <w:rFonts w:eastAsia="Times New Roman" w:cstheme="minorHAnsi"/>
          <w:bCs/>
          <w:kern w:val="0"/>
          <w:sz w:val="24"/>
          <w:szCs w:val="24"/>
          <w:lang w:eastAsia="nl-NL"/>
          <w14:ligatures w14:val="none"/>
        </w:rPr>
        <w:t xml:space="preserve">voetafdruk </w:t>
      </w:r>
      <w:r w:rsidRPr="00764CE9">
        <w:rPr>
          <w:rFonts w:eastAsia="Times New Roman" w:cstheme="minorHAnsi"/>
          <w:bCs/>
          <w:kern w:val="0"/>
          <w:sz w:val="24"/>
          <w:szCs w:val="24"/>
          <w:lang w:eastAsia="nl-NL"/>
          <w14:ligatures w14:val="none"/>
        </w:rPr>
        <w:t>van zijn beleggingen</w:t>
      </w:r>
      <w:r w:rsidR="00BC4ADC" w:rsidRPr="00764CE9">
        <w:rPr>
          <w:rFonts w:eastAsia="Times New Roman" w:cstheme="minorHAnsi"/>
          <w:bCs/>
          <w:kern w:val="0"/>
          <w:sz w:val="24"/>
          <w:szCs w:val="24"/>
          <w:lang w:eastAsia="nl-NL"/>
          <w14:ligatures w14:val="none"/>
        </w:rPr>
        <w:t xml:space="preserve"> van de liquide aandelenportefeuille en die van de liquide bedrijfsobligaties</w:t>
      </w:r>
      <w:r w:rsidR="000830B3" w:rsidRPr="00764CE9">
        <w:rPr>
          <w:rFonts w:eastAsia="Times New Roman" w:cstheme="minorHAnsi"/>
          <w:bCs/>
          <w:kern w:val="0"/>
          <w:sz w:val="24"/>
          <w:szCs w:val="24"/>
          <w:lang w:eastAsia="nl-NL"/>
          <w14:ligatures w14:val="none"/>
        </w:rPr>
        <w:t xml:space="preserve"> (samen </w:t>
      </w:r>
      <w:r w:rsidR="00574C1C" w:rsidRPr="00764CE9">
        <w:rPr>
          <w:rFonts w:eastAsia="Times New Roman" w:cstheme="minorHAnsi"/>
          <w:bCs/>
          <w:kern w:val="0"/>
          <w:sz w:val="24"/>
          <w:szCs w:val="24"/>
          <w:lang w:eastAsia="nl-NL"/>
          <w14:ligatures w14:val="none"/>
        </w:rPr>
        <w:t>ca. 50</w:t>
      </w:r>
      <w:r w:rsidR="000830B3" w:rsidRPr="00764CE9">
        <w:rPr>
          <w:rFonts w:eastAsia="Times New Roman" w:cstheme="minorHAnsi"/>
          <w:bCs/>
          <w:kern w:val="0"/>
          <w:sz w:val="24"/>
          <w:szCs w:val="24"/>
          <w:lang w:eastAsia="nl-NL"/>
          <w14:ligatures w14:val="none"/>
        </w:rPr>
        <w:t xml:space="preserve">% van de </w:t>
      </w:r>
      <w:r w:rsidR="00574C1C" w:rsidRPr="00764CE9">
        <w:rPr>
          <w:rFonts w:eastAsia="Times New Roman" w:cstheme="minorHAnsi"/>
          <w:bCs/>
          <w:kern w:val="0"/>
          <w:sz w:val="24"/>
          <w:szCs w:val="24"/>
          <w:lang w:eastAsia="nl-NL"/>
          <w14:ligatures w14:val="none"/>
        </w:rPr>
        <w:t>totale beleggingsportefeuille</w:t>
      </w:r>
      <w:r w:rsidR="007D6D1D" w:rsidRPr="00764CE9">
        <w:rPr>
          <w:rFonts w:eastAsia="Times New Roman" w:cstheme="minorHAnsi"/>
          <w:bCs/>
          <w:kern w:val="0"/>
          <w:sz w:val="24"/>
          <w:szCs w:val="24"/>
          <w:lang w:eastAsia="nl-NL"/>
          <w14:ligatures w14:val="none"/>
        </w:rPr>
        <w:t>)</w:t>
      </w:r>
      <w:r w:rsidRPr="00764CE9">
        <w:rPr>
          <w:rFonts w:eastAsia="Times New Roman" w:cstheme="minorHAnsi"/>
          <w:bCs/>
          <w:kern w:val="0"/>
          <w:sz w:val="24"/>
          <w:szCs w:val="24"/>
          <w:lang w:eastAsia="nl-NL"/>
          <w14:ligatures w14:val="none"/>
        </w:rPr>
        <w:t xml:space="preserve">. </w:t>
      </w:r>
      <w:r w:rsidR="00574C1C" w:rsidRPr="00764CE9">
        <w:rPr>
          <w:rFonts w:eastAsia="Times New Roman" w:cstheme="minorHAnsi"/>
          <w:bCs/>
          <w:kern w:val="0"/>
          <w:sz w:val="24"/>
          <w:szCs w:val="24"/>
          <w:lang w:eastAsia="nl-NL"/>
          <w14:ligatures w14:val="none"/>
        </w:rPr>
        <w:t xml:space="preserve">De meting </w:t>
      </w:r>
      <w:r w:rsidR="000E0B63" w:rsidRPr="00764CE9">
        <w:rPr>
          <w:rFonts w:eastAsia="Times New Roman" w:cstheme="minorHAnsi"/>
          <w:bCs/>
          <w:kern w:val="0"/>
          <w:sz w:val="24"/>
          <w:szCs w:val="24"/>
          <w:lang w:eastAsia="nl-NL"/>
          <w14:ligatures w14:val="none"/>
        </w:rPr>
        <w:t>gebeurt</w:t>
      </w:r>
      <w:r w:rsidR="00BC4ADC" w:rsidRPr="00764CE9">
        <w:rPr>
          <w:rFonts w:eastAsia="Times New Roman" w:cstheme="minorHAnsi"/>
          <w:bCs/>
          <w:kern w:val="0"/>
          <w:sz w:val="24"/>
          <w:szCs w:val="24"/>
          <w:lang w:eastAsia="nl-NL"/>
          <w14:ligatures w14:val="none"/>
        </w:rPr>
        <w:t xml:space="preserve"> op basis van de scope 1</w:t>
      </w:r>
      <w:r w:rsidR="00BC4ADC" w:rsidRPr="00764CE9">
        <w:rPr>
          <w:rStyle w:val="FootnoteReference"/>
          <w:rFonts w:eastAsia="Times New Roman" w:cstheme="minorHAnsi"/>
          <w:bCs/>
          <w:kern w:val="0"/>
          <w:sz w:val="24"/>
          <w:szCs w:val="24"/>
          <w:lang w:eastAsia="nl-NL"/>
          <w14:ligatures w14:val="none"/>
        </w:rPr>
        <w:footnoteReference w:id="3"/>
      </w:r>
      <w:r w:rsidR="00BC4ADC" w:rsidRPr="00764CE9">
        <w:rPr>
          <w:rFonts w:eastAsia="Times New Roman" w:cstheme="minorHAnsi"/>
          <w:bCs/>
          <w:kern w:val="0"/>
          <w:sz w:val="24"/>
          <w:szCs w:val="24"/>
          <w:lang w:eastAsia="nl-NL"/>
          <w14:ligatures w14:val="none"/>
        </w:rPr>
        <w:t xml:space="preserve"> en </w:t>
      </w:r>
      <w:r w:rsidR="00052D85" w:rsidRPr="00764CE9">
        <w:rPr>
          <w:rFonts w:eastAsia="Times New Roman" w:cstheme="minorHAnsi"/>
          <w:bCs/>
          <w:kern w:val="0"/>
          <w:sz w:val="24"/>
          <w:szCs w:val="24"/>
          <w:lang w:eastAsia="nl-NL"/>
          <w14:ligatures w14:val="none"/>
        </w:rPr>
        <w:t xml:space="preserve">scope </w:t>
      </w:r>
      <w:r w:rsidR="00BC4ADC" w:rsidRPr="00764CE9">
        <w:rPr>
          <w:rFonts w:eastAsia="Times New Roman" w:cstheme="minorHAnsi"/>
          <w:bCs/>
          <w:kern w:val="0"/>
          <w:sz w:val="24"/>
          <w:szCs w:val="24"/>
          <w:lang w:eastAsia="nl-NL"/>
          <w14:ligatures w14:val="none"/>
        </w:rPr>
        <w:t>2</w:t>
      </w:r>
      <w:r w:rsidR="00BC4ADC" w:rsidRPr="00764CE9">
        <w:rPr>
          <w:rStyle w:val="FootnoteReference"/>
          <w:rFonts w:eastAsia="Times New Roman" w:cstheme="minorHAnsi"/>
          <w:bCs/>
          <w:kern w:val="0"/>
          <w:sz w:val="24"/>
          <w:szCs w:val="24"/>
          <w:lang w:eastAsia="nl-NL"/>
          <w14:ligatures w14:val="none"/>
        </w:rPr>
        <w:footnoteReference w:id="4"/>
      </w:r>
      <w:r w:rsidR="00C106D2" w:rsidRPr="00764CE9">
        <w:rPr>
          <w:rFonts w:eastAsia="Times New Roman" w:cstheme="minorHAnsi"/>
          <w:bCs/>
          <w:kern w:val="0"/>
          <w:sz w:val="24"/>
          <w:szCs w:val="24"/>
          <w:lang w:eastAsia="nl-NL"/>
          <w14:ligatures w14:val="none"/>
        </w:rPr>
        <w:t>-</w:t>
      </w:r>
      <w:r w:rsidR="00BC4ADC" w:rsidRPr="00764CE9">
        <w:rPr>
          <w:rFonts w:eastAsia="Times New Roman" w:cstheme="minorHAnsi"/>
          <w:bCs/>
          <w:kern w:val="0"/>
          <w:sz w:val="24"/>
          <w:szCs w:val="24"/>
          <w:lang w:eastAsia="nl-NL"/>
          <w14:ligatures w14:val="none"/>
        </w:rPr>
        <w:t xml:space="preserve"> gegevens van de betrokken bedrijven</w:t>
      </w:r>
      <w:r w:rsidR="002921F8" w:rsidRPr="00764CE9">
        <w:rPr>
          <w:rFonts w:eastAsia="Times New Roman" w:cstheme="minorHAnsi"/>
          <w:bCs/>
          <w:kern w:val="0"/>
          <w:sz w:val="24"/>
          <w:szCs w:val="24"/>
          <w:lang w:eastAsia="nl-NL"/>
          <w14:ligatures w14:val="none"/>
        </w:rPr>
        <w:t xml:space="preserve"> in de betreffende </w:t>
      </w:r>
      <w:r w:rsidR="00A06188" w:rsidRPr="00764CE9">
        <w:rPr>
          <w:rFonts w:eastAsia="Times New Roman" w:cstheme="minorHAnsi"/>
          <w:bCs/>
          <w:kern w:val="0"/>
          <w:sz w:val="24"/>
          <w:szCs w:val="24"/>
          <w:lang w:eastAsia="nl-NL"/>
          <w14:ligatures w14:val="none"/>
        </w:rPr>
        <w:t>portefeuilles</w:t>
      </w:r>
      <w:r w:rsidR="00BC4ADC" w:rsidRPr="00764CE9">
        <w:rPr>
          <w:rFonts w:eastAsia="Times New Roman" w:cstheme="minorHAnsi"/>
          <w:bCs/>
          <w:kern w:val="0"/>
          <w:sz w:val="24"/>
          <w:szCs w:val="24"/>
          <w:lang w:eastAsia="nl-NL"/>
          <w14:ligatures w14:val="none"/>
        </w:rPr>
        <w:t xml:space="preserve">. </w:t>
      </w:r>
      <w:r w:rsidR="00D31C3F" w:rsidRPr="00764CE9">
        <w:rPr>
          <w:rFonts w:eastAsia="Times New Roman" w:cstheme="minorHAnsi"/>
          <w:bCs/>
          <w:kern w:val="0"/>
          <w:sz w:val="24"/>
          <w:szCs w:val="24"/>
          <w:lang w:eastAsia="nl-NL"/>
          <w14:ligatures w14:val="none"/>
        </w:rPr>
        <w:t xml:space="preserve">Uit </w:t>
      </w:r>
      <w:r w:rsidR="00337924" w:rsidRPr="00764CE9">
        <w:rPr>
          <w:rFonts w:eastAsia="Times New Roman" w:cstheme="minorHAnsi"/>
          <w:b/>
          <w:kern w:val="0"/>
          <w:sz w:val="24"/>
          <w:szCs w:val="24"/>
          <w:lang w:eastAsia="nl-NL"/>
          <w14:ligatures w14:val="none"/>
        </w:rPr>
        <w:t>figuur 2</w:t>
      </w:r>
      <w:r w:rsidR="00337924" w:rsidRPr="00764CE9">
        <w:rPr>
          <w:rFonts w:eastAsia="Times New Roman" w:cstheme="minorHAnsi"/>
          <w:bCs/>
          <w:kern w:val="0"/>
          <w:sz w:val="24"/>
          <w:szCs w:val="24"/>
          <w:lang w:eastAsia="nl-NL"/>
          <w14:ligatures w14:val="none"/>
        </w:rPr>
        <w:t xml:space="preserve"> kan worden afgeleid</w:t>
      </w:r>
      <w:r w:rsidR="00D31C3F" w:rsidRPr="00764CE9">
        <w:rPr>
          <w:rFonts w:eastAsia="Times New Roman" w:cstheme="minorHAnsi"/>
          <w:bCs/>
          <w:kern w:val="0"/>
          <w:sz w:val="24"/>
          <w:szCs w:val="24"/>
          <w:lang w:eastAsia="nl-NL"/>
          <w14:ligatures w14:val="none"/>
        </w:rPr>
        <w:t xml:space="preserve"> dat het pensioenfonds </w:t>
      </w:r>
      <w:r w:rsidR="00477E23">
        <w:rPr>
          <w:rFonts w:eastAsia="Times New Roman" w:cstheme="minorHAnsi"/>
          <w:bCs/>
          <w:kern w:val="0"/>
          <w:sz w:val="24"/>
          <w:szCs w:val="24"/>
          <w:lang w:eastAsia="nl-NL"/>
          <w14:ligatures w14:val="none"/>
        </w:rPr>
        <w:t>de</w:t>
      </w:r>
      <w:r w:rsidR="003E0888">
        <w:rPr>
          <w:rFonts w:eastAsia="Times New Roman" w:cstheme="minorHAnsi"/>
          <w:bCs/>
          <w:kern w:val="0"/>
          <w:sz w:val="24"/>
          <w:szCs w:val="24"/>
          <w:lang w:eastAsia="nl-NL"/>
          <w14:ligatures w14:val="none"/>
        </w:rPr>
        <w:t xml:space="preserve"> reductie </w:t>
      </w:r>
      <w:r w:rsidR="00477E23">
        <w:rPr>
          <w:rFonts w:eastAsia="Times New Roman" w:cstheme="minorHAnsi"/>
          <w:bCs/>
          <w:kern w:val="0"/>
          <w:sz w:val="24"/>
          <w:szCs w:val="24"/>
          <w:lang w:eastAsia="nl-NL"/>
          <w14:ligatures w14:val="none"/>
        </w:rPr>
        <w:t xml:space="preserve">van de </w:t>
      </w:r>
      <w:r w:rsidR="00477E23" w:rsidRPr="00764CE9">
        <w:rPr>
          <w:rFonts w:eastAsia="Times New Roman" w:cstheme="minorHAnsi"/>
          <w:bCs/>
          <w:kern w:val="0"/>
          <w:sz w:val="24"/>
          <w:szCs w:val="24"/>
          <w:lang w:eastAsia="nl-NL"/>
          <w14:ligatures w14:val="none"/>
        </w:rPr>
        <w:t>CO</w:t>
      </w:r>
      <w:r w:rsidR="00477E23" w:rsidRPr="00764CE9">
        <w:rPr>
          <w:rFonts w:eastAsia="Times New Roman" w:cstheme="minorHAnsi"/>
          <w:bCs/>
          <w:kern w:val="0"/>
          <w:sz w:val="24"/>
          <w:szCs w:val="24"/>
          <w:vertAlign w:val="subscript"/>
          <w:lang w:eastAsia="nl-NL"/>
          <w14:ligatures w14:val="none"/>
        </w:rPr>
        <w:t>2</w:t>
      </w:r>
      <w:r w:rsidR="00477E23" w:rsidRPr="00764CE9">
        <w:rPr>
          <w:rFonts w:eastAsia="Times New Roman" w:cstheme="minorHAnsi"/>
          <w:bCs/>
          <w:kern w:val="0"/>
          <w:sz w:val="24"/>
          <w:szCs w:val="24"/>
          <w:lang w:eastAsia="nl-NL"/>
          <w14:ligatures w14:val="none"/>
        </w:rPr>
        <w:t>e</w:t>
      </w:r>
      <w:r w:rsidR="00477E23">
        <w:rPr>
          <w:rFonts w:eastAsia="Times New Roman" w:cstheme="minorHAnsi"/>
          <w:bCs/>
          <w:kern w:val="0"/>
          <w:sz w:val="24"/>
          <w:szCs w:val="24"/>
          <w:lang w:eastAsia="nl-NL"/>
          <w14:ligatures w14:val="none"/>
        </w:rPr>
        <w:t xml:space="preserve"> ruim voor loopt op de doelstelling en een reductie van bijna 48% heeft bereikt.</w:t>
      </w:r>
    </w:p>
    <w:p w14:paraId="2948389F" w14:textId="77777777" w:rsidR="00477E23" w:rsidRPr="00764CE9" w:rsidRDefault="00477E23" w:rsidP="00632540">
      <w:pPr>
        <w:spacing w:after="0" w:line="240" w:lineRule="auto"/>
        <w:rPr>
          <w:rFonts w:eastAsia="Times New Roman" w:cstheme="minorHAnsi"/>
          <w:bCs/>
          <w:kern w:val="0"/>
          <w:sz w:val="24"/>
          <w:szCs w:val="24"/>
          <w:lang w:eastAsia="nl-NL"/>
          <w14:ligatures w14:val="none"/>
        </w:rPr>
      </w:pPr>
    </w:p>
    <w:p w14:paraId="10E55837" w14:textId="77777777" w:rsidR="00C106D2" w:rsidRDefault="00C106D2" w:rsidP="00B23632">
      <w:pPr>
        <w:spacing w:after="0" w:line="240" w:lineRule="auto"/>
        <w:jc w:val="both"/>
        <w:rPr>
          <w:rFonts w:ascii="Times New Roman" w:eastAsia="Times New Roman" w:hAnsi="Times New Roman" w:cs="Times New Roman"/>
          <w:b/>
          <w:kern w:val="0"/>
          <w:sz w:val="24"/>
          <w:szCs w:val="24"/>
          <w:lang w:eastAsia="nl-NL"/>
          <w14:ligatures w14:val="none"/>
        </w:rPr>
      </w:pPr>
    </w:p>
    <w:p w14:paraId="2CE7FA82" w14:textId="77777777" w:rsidR="00477E23" w:rsidRDefault="00CD15FC" w:rsidP="00477E23">
      <w:pPr>
        <w:spacing w:after="0" w:line="240" w:lineRule="auto"/>
        <w:rPr>
          <w:rFonts w:eastAsia="Times New Roman" w:cstheme="minorHAnsi"/>
          <w:bCs/>
          <w:kern w:val="0"/>
          <w:sz w:val="24"/>
          <w:szCs w:val="24"/>
          <w:lang w:eastAsia="nl-NL"/>
          <w14:ligatures w14:val="none"/>
        </w:rPr>
      </w:pPr>
      <w:r>
        <w:rPr>
          <w:rFonts w:eastAsia="Times New Roman" w:cstheme="minorHAnsi"/>
          <w:b/>
          <w:noProof/>
          <w:kern w:val="0"/>
          <w:sz w:val="24"/>
          <w:szCs w:val="24"/>
          <w:lang w:eastAsia="nl-NL"/>
          <w14:ligatures w14:val="none"/>
        </w:rPr>
        <w:drawing>
          <wp:anchor distT="0" distB="0" distL="114300" distR="114300" simplePos="0" relativeHeight="251664384" behindDoc="0" locked="0" layoutInCell="1" allowOverlap="1" wp14:anchorId="3E199426" wp14:editId="551C64A7">
            <wp:simplePos x="0" y="0"/>
            <wp:positionH relativeFrom="column">
              <wp:posOffset>4956673</wp:posOffset>
            </wp:positionH>
            <wp:positionV relativeFrom="paragraph">
              <wp:posOffset>499796</wp:posOffset>
            </wp:positionV>
            <wp:extent cx="1136530" cy="536188"/>
            <wp:effectExtent l="0" t="0" r="6985" b="0"/>
            <wp:wrapNone/>
            <wp:docPr id="11565398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245" cy="540771"/>
                    </a:xfrm>
                    <a:prstGeom prst="rect">
                      <a:avLst/>
                    </a:prstGeom>
                    <a:noFill/>
                  </pic:spPr>
                </pic:pic>
              </a:graphicData>
            </a:graphic>
            <wp14:sizeRelH relativeFrom="margin">
              <wp14:pctWidth>0</wp14:pctWidth>
            </wp14:sizeRelH>
            <wp14:sizeRelV relativeFrom="margin">
              <wp14:pctHeight>0</wp14:pctHeight>
            </wp14:sizeRelV>
          </wp:anchor>
        </w:drawing>
      </w:r>
      <w:r w:rsidRPr="00CD15FC">
        <w:rPr>
          <w:rFonts w:eastAsia="Times New Roman" w:cstheme="minorHAnsi"/>
          <w:b/>
          <w:noProof/>
          <w:kern w:val="0"/>
          <w:sz w:val="24"/>
          <w:szCs w:val="24"/>
          <w:lang w:eastAsia="nl-NL"/>
          <w14:ligatures w14:val="none"/>
        </w:rPr>
        <w:drawing>
          <wp:anchor distT="0" distB="0" distL="114300" distR="114300" simplePos="0" relativeHeight="251662336" behindDoc="0" locked="0" layoutInCell="1" allowOverlap="1" wp14:anchorId="0A92FA36" wp14:editId="5C9B83CE">
            <wp:simplePos x="0" y="0"/>
            <wp:positionH relativeFrom="margin">
              <wp:posOffset>4981334</wp:posOffset>
            </wp:positionH>
            <wp:positionV relativeFrom="paragraph">
              <wp:posOffset>540642</wp:posOffset>
            </wp:positionV>
            <wp:extent cx="1109980" cy="523875"/>
            <wp:effectExtent l="0" t="0" r="0" b="9525"/>
            <wp:wrapThrough wrapText="bothSides">
              <wp:wrapPolygon edited="0">
                <wp:start x="0" y="0"/>
                <wp:lineTo x="0" y="21207"/>
                <wp:lineTo x="21130" y="21207"/>
                <wp:lineTo x="21130" y="0"/>
                <wp:lineTo x="0" y="0"/>
              </wp:wrapPolygon>
            </wp:wrapThrough>
            <wp:docPr id="2107093858"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93858" name="Picture 1" descr="A close-up of a white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09980" cy="523875"/>
                    </a:xfrm>
                    <a:prstGeom prst="rect">
                      <a:avLst/>
                    </a:prstGeom>
                  </pic:spPr>
                </pic:pic>
              </a:graphicData>
            </a:graphic>
            <wp14:sizeRelH relativeFrom="margin">
              <wp14:pctWidth>0</wp14:pctWidth>
            </wp14:sizeRelH>
            <wp14:sizeRelV relativeFrom="margin">
              <wp14:pctHeight>0</wp14:pctHeight>
            </wp14:sizeRelV>
          </wp:anchor>
        </w:drawing>
      </w:r>
      <w:r w:rsidRPr="00CD15FC">
        <w:rPr>
          <w:rFonts w:eastAsia="Times New Roman" w:cstheme="minorHAnsi"/>
          <w:bCs/>
          <w:noProof/>
          <w:kern w:val="0"/>
          <w:sz w:val="24"/>
          <w:szCs w:val="24"/>
          <w:lang w:eastAsia="nl-NL"/>
          <w14:ligatures w14:val="none"/>
        </w:rPr>
        <w:drawing>
          <wp:anchor distT="0" distB="0" distL="114300" distR="114300" simplePos="0" relativeHeight="251663360" behindDoc="1" locked="0" layoutInCell="1" allowOverlap="1" wp14:anchorId="6602F5F9" wp14:editId="4C14FF86">
            <wp:simplePos x="0" y="0"/>
            <wp:positionH relativeFrom="margin">
              <wp:align>left</wp:align>
            </wp:positionH>
            <wp:positionV relativeFrom="paragraph">
              <wp:posOffset>499093</wp:posOffset>
            </wp:positionV>
            <wp:extent cx="6129020" cy="1564640"/>
            <wp:effectExtent l="0" t="0" r="5080" b="0"/>
            <wp:wrapTight wrapText="bothSides">
              <wp:wrapPolygon edited="0">
                <wp:start x="0" y="0"/>
                <wp:lineTo x="0" y="21302"/>
                <wp:lineTo x="21551" y="21302"/>
                <wp:lineTo x="21551" y="0"/>
                <wp:lineTo x="0" y="0"/>
              </wp:wrapPolygon>
            </wp:wrapTight>
            <wp:docPr id="1589198244" name="Picture 1" descr="A graph with 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98244" name="Picture 1" descr="A graph with a lin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9020" cy="1564640"/>
                    </a:xfrm>
                    <a:prstGeom prst="rect">
                      <a:avLst/>
                    </a:prstGeom>
                  </pic:spPr>
                </pic:pic>
              </a:graphicData>
            </a:graphic>
          </wp:anchor>
        </w:drawing>
      </w:r>
      <w:r w:rsidR="00337924" w:rsidRPr="00764CE9">
        <w:rPr>
          <w:rFonts w:eastAsia="Times New Roman" w:cstheme="minorHAnsi"/>
          <w:b/>
          <w:kern w:val="0"/>
          <w:sz w:val="24"/>
          <w:szCs w:val="24"/>
          <w:lang w:eastAsia="nl-NL"/>
          <w14:ligatures w14:val="none"/>
        </w:rPr>
        <w:t>Figuur</w:t>
      </w:r>
      <w:r w:rsidR="00764CE9">
        <w:rPr>
          <w:rFonts w:eastAsia="Times New Roman" w:cstheme="minorHAnsi"/>
          <w:b/>
          <w:kern w:val="0"/>
          <w:sz w:val="24"/>
          <w:szCs w:val="24"/>
          <w:lang w:eastAsia="nl-NL"/>
          <w14:ligatures w14:val="none"/>
        </w:rPr>
        <w:t xml:space="preserve"> </w:t>
      </w:r>
      <w:r w:rsidR="00337924" w:rsidRPr="00764CE9">
        <w:rPr>
          <w:rFonts w:eastAsia="Times New Roman" w:cstheme="minorHAnsi"/>
          <w:b/>
          <w:kern w:val="0"/>
          <w:sz w:val="24"/>
          <w:szCs w:val="24"/>
          <w:lang w:eastAsia="nl-NL"/>
          <w14:ligatures w14:val="none"/>
        </w:rPr>
        <w:t>2</w:t>
      </w:r>
      <w:r w:rsidR="00C106D2" w:rsidRPr="00764CE9">
        <w:rPr>
          <w:rFonts w:eastAsia="Times New Roman" w:cstheme="minorHAnsi"/>
          <w:b/>
          <w:kern w:val="0"/>
          <w:sz w:val="24"/>
          <w:szCs w:val="24"/>
          <w:lang w:eastAsia="nl-NL"/>
          <w14:ligatures w14:val="none"/>
        </w:rPr>
        <w:t>: CO</w:t>
      </w:r>
      <w:r w:rsidR="00C106D2" w:rsidRPr="00764CE9">
        <w:rPr>
          <w:rFonts w:eastAsia="Times New Roman" w:cstheme="minorHAnsi"/>
          <w:b/>
          <w:kern w:val="0"/>
          <w:sz w:val="24"/>
          <w:szCs w:val="24"/>
          <w:vertAlign w:val="subscript"/>
          <w:lang w:eastAsia="nl-NL"/>
          <w14:ligatures w14:val="none"/>
        </w:rPr>
        <w:t>2</w:t>
      </w:r>
      <w:r w:rsidR="00C106D2" w:rsidRPr="00764CE9">
        <w:rPr>
          <w:rFonts w:eastAsia="Times New Roman" w:cstheme="minorHAnsi"/>
          <w:b/>
          <w:kern w:val="0"/>
          <w:sz w:val="24"/>
          <w:szCs w:val="24"/>
          <w:lang w:eastAsia="nl-NL"/>
          <w14:ligatures w14:val="none"/>
        </w:rPr>
        <w:t>e-reductiedoelstelling liquide aandelen en liquide bedrijfsobligatieportefeuilles</w:t>
      </w:r>
      <w:r w:rsidR="00C106D2" w:rsidRPr="00764CE9">
        <w:rPr>
          <w:rFonts w:eastAsia="Times New Roman" w:cstheme="minorHAnsi"/>
          <w:bCs/>
          <w:kern w:val="0"/>
          <w:sz w:val="24"/>
          <w:szCs w:val="24"/>
          <w:lang w:eastAsia="nl-NL"/>
          <w14:ligatures w14:val="none"/>
        </w:rPr>
        <w:t xml:space="preserve"> </w:t>
      </w:r>
    </w:p>
    <w:p w14:paraId="23C13803" w14:textId="7481A6C6" w:rsidR="00F90CB1" w:rsidRPr="00477E23" w:rsidRDefault="00F90CB1" w:rsidP="00477E23">
      <w:pPr>
        <w:spacing w:after="0" w:line="240" w:lineRule="auto"/>
        <w:rPr>
          <w:rFonts w:eastAsia="Times New Roman" w:cstheme="minorHAnsi"/>
          <w:bCs/>
          <w:kern w:val="0"/>
          <w:sz w:val="24"/>
          <w:szCs w:val="24"/>
          <w:lang w:eastAsia="nl-NL"/>
          <w14:ligatures w14:val="none"/>
        </w:rPr>
      </w:pPr>
      <w:r w:rsidRPr="00C717AA">
        <w:rPr>
          <w:rFonts w:cstheme="minorHAnsi"/>
          <w:bCs/>
          <w:i/>
          <w:iCs/>
          <w:sz w:val="18"/>
          <w:szCs w:val="18"/>
          <w:lang w:eastAsia="nl-NL"/>
        </w:rPr>
        <w:t xml:space="preserve">Bron: </w:t>
      </w:r>
      <w:proofErr w:type="spellStart"/>
      <w:r w:rsidRPr="00C717AA">
        <w:rPr>
          <w:rFonts w:cstheme="minorHAnsi"/>
          <w:bCs/>
          <w:i/>
          <w:iCs/>
          <w:sz w:val="18"/>
          <w:szCs w:val="18"/>
          <w:lang w:eastAsia="nl-NL"/>
        </w:rPr>
        <w:t>Cardano</w:t>
      </w:r>
      <w:proofErr w:type="spellEnd"/>
      <w:r w:rsidRPr="00C717AA">
        <w:rPr>
          <w:rFonts w:cstheme="minorHAnsi"/>
          <w:bCs/>
          <w:i/>
          <w:iCs/>
          <w:sz w:val="18"/>
          <w:szCs w:val="18"/>
          <w:lang w:eastAsia="nl-NL"/>
        </w:rPr>
        <w:t xml:space="preserve"> </w:t>
      </w:r>
    </w:p>
    <w:p w14:paraId="64404FC8" w14:textId="785D5833" w:rsidR="00CE2131" w:rsidRDefault="00CE2131" w:rsidP="003E0888">
      <w:pPr>
        <w:spacing w:after="0" w:line="240" w:lineRule="auto"/>
        <w:jc w:val="both"/>
        <w:rPr>
          <w:noProof/>
        </w:rPr>
      </w:pPr>
    </w:p>
    <w:p w14:paraId="7021949D" w14:textId="6F8FC695" w:rsidR="00F90CB1" w:rsidRDefault="00F90CB1" w:rsidP="00F90CB1">
      <w:pPr>
        <w:spacing w:after="0" w:line="240" w:lineRule="auto"/>
        <w:rPr>
          <w:rFonts w:eastAsia="Times New Roman" w:cstheme="minorHAnsi"/>
          <w:bCs/>
          <w:kern w:val="0"/>
          <w:sz w:val="24"/>
          <w:szCs w:val="24"/>
          <w:lang w:eastAsia="nl-NL"/>
          <w14:ligatures w14:val="none"/>
        </w:rPr>
      </w:pPr>
      <w:r w:rsidRPr="003E0888">
        <w:rPr>
          <w:rFonts w:eastAsia="Times New Roman" w:cstheme="minorHAnsi"/>
          <w:bCs/>
          <w:kern w:val="0"/>
          <w:sz w:val="24"/>
          <w:szCs w:val="24"/>
          <w:lang w:eastAsia="nl-NL"/>
          <w14:ligatures w14:val="none"/>
        </w:rPr>
        <w:t xml:space="preserve">De </w:t>
      </w:r>
      <w:r>
        <w:rPr>
          <w:rFonts w:eastAsia="Times New Roman" w:cstheme="minorHAnsi"/>
          <w:bCs/>
          <w:kern w:val="0"/>
          <w:sz w:val="24"/>
          <w:szCs w:val="24"/>
          <w:lang w:eastAsia="nl-NL"/>
          <w14:ligatures w14:val="none"/>
        </w:rPr>
        <w:t xml:space="preserve">belangrijkste bijdrage na 2023 wordt geleverd door het beleggingsfonds in aandelen met een specifieke Paris Aligned benchmark, zie hierna. Voor bedrijfsobligaties zal op korte termijn de benchmark (en daarmee de portefeuille) zodanig worden aangepast dat het expliciet rekening gaat houden met een </w:t>
      </w:r>
      <w:r w:rsidRPr="003E0888">
        <w:rPr>
          <w:rFonts w:eastAsia="Times New Roman" w:cstheme="minorHAnsi"/>
          <w:bCs/>
          <w:kern w:val="0"/>
          <w:sz w:val="24"/>
          <w:szCs w:val="24"/>
          <w:lang w:eastAsia="nl-NL"/>
          <w14:ligatures w14:val="none"/>
        </w:rPr>
        <w:t>verlaging van de CO</w:t>
      </w:r>
      <w:r w:rsidRPr="003E0888">
        <w:rPr>
          <w:rFonts w:eastAsia="Times New Roman" w:cstheme="minorHAnsi"/>
          <w:bCs/>
          <w:kern w:val="0"/>
          <w:sz w:val="24"/>
          <w:szCs w:val="24"/>
          <w:vertAlign w:val="subscript"/>
          <w:lang w:eastAsia="nl-NL"/>
          <w14:ligatures w14:val="none"/>
        </w:rPr>
        <w:t>2</w:t>
      </w:r>
      <w:r w:rsidRPr="003E0888">
        <w:rPr>
          <w:rFonts w:eastAsia="Times New Roman" w:cstheme="minorHAnsi"/>
          <w:bCs/>
          <w:kern w:val="0"/>
          <w:sz w:val="24"/>
          <w:szCs w:val="24"/>
          <w:lang w:eastAsia="nl-NL"/>
          <w14:ligatures w14:val="none"/>
        </w:rPr>
        <w:t>e-reductie in de portefeuill</w:t>
      </w:r>
      <w:r>
        <w:rPr>
          <w:rFonts w:eastAsia="Times New Roman" w:cstheme="minorHAnsi"/>
          <w:bCs/>
          <w:kern w:val="0"/>
          <w:sz w:val="24"/>
          <w:szCs w:val="24"/>
          <w:lang w:eastAsia="nl-NL"/>
          <w14:ligatures w14:val="none"/>
        </w:rPr>
        <w:t xml:space="preserve">e. </w:t>
      </w:r>
    </w:p>
    <w:p w14:paraId="7BE3CEAB" w14:textId="77777777" w:rsidR="00CE2131" w:rsidRDefault="00CE2131" w:rsidP="003E0888">
      <w:pPr>
        <w:spacing w:after="0" w:line="240" w:lineRule="auto"/>
        <w:jc w:val="both"/>
        <w:rPr>
          <w:noProof/>
        </w:rPr>
      </w:pPr>
    </w:p>
    <w:p w14:paraId="5B0ABD84" w14:textId="77777777" w:rsidR="00CE2131" w:rsidRDefault="00CE2131" w:rsidP="003E0888">
      <w:pPr>
        <w:spacing w:after="0" w:line="240" w:lineRule="auto"/>
        <w:jc w:val="both"/>
        <w:rPr>
          <w:noProof/>
        </w:rPr>
      </w:pPr>
    </w:p>
    <w:p w14:paraId="4C611D06" w14:textId="77777777" w:rsidR="00477E23" w:rsidRDefault="00477E23" w:rsidP="003E0888">
      <w:pPr>
        <w:spacing w:after="0" w:line="240" w:lineRule="auto"/>
        <w:jc w:val="both"/>
        <w:rPr>
          <w:noProof/>
        </w:rPr>
      </w:pPr>
    </w:p>
    <w:p w14:paraId="45BF674D" w14:textId="77777777" w:rsidR="00477E23" w:rsidRDefault="00477E23" w:rsidP="003E0888">
      <w:pPr>
        <w:spacing w:after="0" w:line="240" w:lineRule="auto"/>
        <w:jc w:val="both"/>
        <w:rPr>
          <w:noProof/>
        </w:rPr>
      </w:pPr>
    </w:p>
    <w:p w14:paraId="3BAF0ABA" w14:textId="77777777" w:rsidR="00CE2131" w:rsidRDefault="00CE2131" w:rsidP="003E0888">
      <w:pPr>
        <w:spacing w:after="0" w:line="240" w:lineRule="auto"/>
        <w:jc w:val="both"/>
        <w:rPr>
          <w:noProof/>
        </w:rPr>
      </w:pPr>
    </w:p>
    <w:p w14:paraId="10096A03" w14:textId="77777777" w:rsidR="00CE2131" w:rsidRDefault="00CE2131" w:rsidP="003E0888">
      <w:pPr>
        <w:spacing w:after="0" w:line="240" w:lineRule="auto"/>
        <w:jc w:val="both"/>
        <w:rPr>
          <w:noProof/>
        </w:rPr>
      </w:pPr>
    </w:p>
    <w:p w14:paraId="02E317F9" w14:textId="77777777" w:rsidR="00CE2131" w:rsidRDefault="00CE2131" w:rsidP="003E0888">
      <w:pPr>
        <w:spacing w:after="0" w:line="240" w:lineRule="auto"/>
        <w:jc w:val="both"/>
        <w:rPr>
          <w:noProof/>
        </w:rPr>
      </w:pPr>
    </w:p>
    <w:p w14:paraId="7BAEB690" w14:textId="1EAAC1C5" w:rsidR="000E5C61" w:rsidRPr="007F0B22" w:rsidRDefault="007D6D1D" w:rsidP="00C23926">
      <w:pPr>
        <w:rPr>
          <w:rFonts w:ascii="Times New Roman" w:eastAsia="Times New Roman" w:hAnsi="Times New Roman" w:cs="Times New Roman"/>
          <w:bCs/>
          <w:kern w:val="0"/>
          <w:sz w:val="24"/>
          <w:szCs w:val="24"/>
          <w:lang w:val="en-US" w:eastAsia="nl-NL"/>
          <w14:ligatures w14:val="none"/>
        </w:rPr>
      </w:pPr>
      <w:r w:rsidRPr="00764CE9">
        <w:rPr>
          <w:rFonts w:eastAsia="Times New Roman" w:cstheme="minorHAnsi"/>
          <w:b/>
          <w:kern w:val="0"/>
          <w:sz w:val="28"/>
          <w:szCs w:val="28"/>
          <w:u w:val="single"/>
          <w:lang w:val="en-GB" w:eastAsia="nl-NL"/>
          <w14:ligatures w14:val="none"/>
        </w:rPr>
        <w:t>CO</w:t>
      </w:r>
      <w:r w:rsidRPr="00764CE9">
        <w:rPr>
          <w:rFonts w:eastAsia="Times New Roman" w:cstheme="minorHAnsi"/>
          <w:b/>
          <w:kern w:val="0"/>
          <w:sz w:val="28"/>
          <w:szCs w:val="28"/>
          <w:u w:val="single"/>
          <w:vertAlign w:val="subscript"/>
          <w:lang w:val="en-GB" w:eastAsia="nl-NL"/>
          <w14:ligatures w14:val="none"/>
        </w:rPr>
        <w:t>2</w:t>
      </w:r>
      <w:r w:rsidRPr="00764CE9">
        <w:rPr>
          <w:rFonts w:eastAsia="Times New Roman" w:cstheme="minorHAnsi"/>
          <w:b/>
          <w:kern w:val="0"/>
          <w:sz w:val="28"/>
          <w:szCs w:val="28"/>
          <w:u w:val="single"/>
          <w:lang w:val="en-GB" w:eastAsia="nl-NL"/>
          <w14:ligatures w14:val="none"/>
        </w:rPr>
        <w:t xml:space="preserve">-reductie </w:t>
      </w:r>
      <w:r w:rsidR="000E5C61" w:rsidRPr="00764CE9">
        <w:rPr>
          <w:rFonts w:eastAsia="Times New Roman" w:cstheme="minorHAnsi"/>
          <w:b/>
          <w:kern w:val="0"/>
          <w:sz w:val="28"/>
          <w:szCs w:val="28"/>
          <w:u w:val="single"/>
          <w:lang w:val="en-GB" w:eastAsia="nl-NL"/>
          <w14:ligatures w14:val="none"/>
        </w:rPr>
        <w:t xml:space="preserve">Paris Aligned Benchmark (PAB) </w:t>
      </w:r>
      <w:proofErr w:type="spellStart"/>
      <w:r w:rsidR="000E5C61" w:rsidRPr="00764CE9">
        <w:rPr>
          <w:rFonts w:eastAsia="Times New Roman" w:cstheme="minorHAnsi"/>
          <w:b/>
          <w:kern w:val="0"/>
          <w:sz w:val="28"/>
          <w:szCs w:val="28"/>
          <w:u w:val="single"/>
          <w:lang w:val="en-GB" w:eastAsia="nl-NL"/>
          <w14:ligatures w14:val="none"/>
        </w:rPr>
        <w:t>aandelenfonds</w:t>
      </w:r>
      <w:proofErr w:type="spellEnd"/>
    </w:p>
    <w:p w14:paraId="3383FF03" w14:textId="0C81449A" w:rsidR="00852BE6" w:rsidRPr="00764CE9" w:rsidRDefault="00495BA5" w:rsidP="008505D6">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Specifiek voor aandelen belegt </w:t>
      </w:r>
      <w:r w:rsidR="00C23926" w:rsidRPr="00764CE9">
        <w:rPr>
          <w:rFonts w:eastAsia="Times New Roman" w:cstheme="minorHAnsi"/>
          <w:bCs/>
          <w:kern w:val="0"/>
          <w:sz w:val="24"/>
          <w:szCs w:val="24"/>
          <w:lang w:eastAsia="nl-NL"/>
          <w14:ligatures w14:val="none"/>
        </w:rPr>
        <w:t>P</w:t>
      </w:r>
      <w:r w:rsidR="00852BE6" w:rsidRPr="00764CE9">
        <w:rPr>
          <w:rFonts w:eastAsia="Times New Roman" w:cstheme="minorHAnsi"/>
          <w:bCs/>
          <w:kern w:val="0"/>
          <w:sz w:val="24"/>
          <w:szCs w:val="24"/>
          <w:lang w:eastAsia="nl-NL"/>
          <w14:ligatures w14:val="none"/>
        </w:rPr>
        <w:t>ensioenfonds TNO</w:t>
      </w:r>
      <w:r w:rsidR="00C23926" w:rsidRPr="00764CE9">
        <w:rPr>
          <w:rFonts w:eastAsia="Times New Roman" w:cstheme="minorHAnsi"/>
          <w:bCs/>
          <w:kern w:val="0"/>
          <w:sz w:val="24"/>
          <w:szCs w:val="24"/>
          <w:lang w:eastAsia="nl-NL"/>
          <w14:ligatures w14:val="none"/>
        </w:rPr>
        <w:t xml:space="preserve"> </w:t>
      </w:r>
      <w:r>
        <w:rPr>
          <w:rFonts w:eastAsia="Times New Roman" w:cstheme="minorHAnsi"/>
          <w:bCs/>
          <w:kern w:val="0"/>
          <w:sz w:val="24"/>
          <w:szCs w:val="24"/>
          <w:lang w:eastAsia="nl-NL"/>
          <w14:ligatures w14:val="none"/>
        </w:rPr>
        <w:t xml:space="preserve">voor de ontwikkelde markten </w:t>
      </w:r>
      <w:r w:rsidR="00C23926" w:rsidRPr="00764CE9">
        <w:rPr>
          <w:rFonts w:eastAsia="Times New Roman" w:cstheme="minorHAnsi"/>
          <w:bCs/>
          <w:kern w:val="0"/>
          <w:sz w:val="24"/>
          <w:szCs w:val="24"/>
          <w:lang w:eastAsia="nl-NL"/>
          <w14:ligatures w14:val="none"/>
        </w:rPr>
        <w:t xml:space="preserve">in </w:t>
      </w:r>
      <w:r w:rsidR="00852BE6" w:rsidRPr="00764CE9">
        <w:rPr>
          <w:rFonts w:eastAsia="Times New Roman" w:cstheme="minorHAnsi"/>
          <w:bCs/>
          <w:kern w:val="0"/>
          <w:sz w:val="24"/>
          <w:szCs w:val="24"/>
          <w:lang w:eastAsia="nl-NL"/>
          <w14:ligatures w14:val="none"/>
        </w:rPr>
        <w:t>een beleggingsfonds</w:t>
      </w:r>
      <w:r w:rsidR="00981CDE" w:rsidRPr="00764CE9">
        <w:rPr>
          <w:rFonts w:eastAsia="Times New Roman" w:cstheme="minorHAnsi"/>
          <w:bCs/>
          <w:kern w:val="0"/>
          <w:sz w:val="24"/>
          <w:szCs w:val="24"/>
          <w:lang w:eastAsia="nl-NL"/>
          <w14:ligatures w14:val="none"/>
        </w:rPr>
        <w:t xml:space="preserve"> </w:t>
      </w:r>
      <w:r w:rsidR="00C23926" w:rsidRPr="00764CE9">
        <w:rPr>
          <w:rFonts w:eastAsia="Times New Roman" w:cstheme="minorHAnsi"/>
          <w:bCs/>
          <w:kern w:val="0"/>
          <w:sz w:val="24"/>
          <w:szCs w:val="24"/>
          <w:lang w:eastAsia="nl-NL"/>
          <w14:ligatures w14:val="none"/>
        </w:rPr>
        <w:t xml:space="preserve">met een </w:t>
      </w:r>
      <w:r>
        <w:rPr>
          <w:rFonts w:eastAsia="Times New Roman" w:cstheme="minorHAnsi"/>
          <w:bCs/>
          <w:kern w:val="0"/>
          <w:sz w:val="24"/>
          <w:szCs w:val="24"/>
          <w:lang w:eastAsia="nl-NL"/>
          <w14:ligatures w14:val="none"/>
        </w:rPr>
        <w:t xml:space="preserve">zogenoemde </w:t>
      </w:r>
      <w:r w:rsidR="00C23926" w:rsidRPr="00764CE9">
        <w:rPr>
          <w:rFonts w:eastAsia="Times New Roman" w:cstheme="minorHAnsi"/>
          <w:bCs/>
          <w:kern w:val="0"/>
          <w:sz w:val="24"/>
          <w:szCs w:val="24"/>
          <w:lang w:eastAsia="nl-NL"/>
          <w14:ligatures w14:val="none"/>
        </w:rPr>
        <w:t>Paris Aligned Benchmark (PAB)</w:t>
      </w:r>
      <w:r w:rsidR="002A2A5A" w:rsidRPr="00764CE9">
        <w:rPr>
          <w:rFonts w:eastAsia="Times New Roman" w:cstheme="minorHAnsi"/>
          <w:bCs/>
          <w:kern w:val="0"/>
          <w:sz w:val="24"/>
          <w:szCs w:val="24"/>
          <w:lang w:eastAsia="nl-NL"/>
          <w14:ligatures w14:val="none"/>
        </w:rPr>
        <w:t xml:space="preserve">. Het doel van dit aandelenfonds is om </w:t>
      </w:r>
      <w:r w:rsidR="00981CDE" w:rsidRPr="00764CE9">
        <w:rPr>
          <w:rFonts w:eastAsia="Times New Roman" w:cstheme="minorHAnsi"/>
          <w:bCs/>
          <w:kern w:val="0"/>
          <w:sz w:val="24"/>
          <w:szCs w:val="24"/>
          <w:lang w:eastAsia="nl-NL"/>
          <w14:ligatures w14:val="none"/>
        </w:rPr>
        <w:t>d</w:t>
      </w:r>
      <w:r w:rsidR="00852BE6" w:rsidRPr="00764CE9">
        <w:rPr>
          <w:rFonts w:eastAsia="Times New Roman" w:cstheme="minorHAnsi"/>
          <w:bCs/>
          <w:kern w:val="0"/>
          <w:sz w:val="24"/>
          <w:szCs w:val="24"/>
          <w:lang w:eastAsia="nl-NL"/>
          <w14:ligatures w14:val="none"/>
        </w:rPr>
        <w:t>e koolstofintensiteit op jaarbasis met minimaal 10%</w:t>
      </w:r>
      <w:r w:rsidR="00981CDE" w:rsidRPr="00764CE9">
        <w:rPr>
          <w:rFonts w:eastAsia="Times New Roman" w:cstheme="minorHAnsi"/>
          <w:bCs/>
          <w:kern w:val="0"/>
          <w:sz w:val="24"/>
          <w:szCs w:val="24"/>
          <w:lang w:eastAsia="nl-NL"/>
          <w14:ligatures w14:val="none"/>
        </w:rPr>
        <w:t xml:space="preserve"> terug te dringen</w:t>
      </w:r>
      <w:r w:rsidR="00852BE6" w:rsidRPr="00764CE9">
        <w:rPr>
          <w:rFonts w:eastAsia="Times New Roman" w:cstheme="minorHAnsi"/>
          <w:bCs/>
          <w:kern w:val="0"/>
          <w:sz w:val="24"/>
          <w:szCs w:val="24"/>
          <w:lang w:eastAsia="nl-NL"/>
          <w14:ligatures w14:val="none"/>
        </w:rPr>
        <w:t xml:space="preserve">. </w:t>
      </w:r>
      <w:r w:rsidR="00C23926" w:rsidRPr="00764CE9">
        <w:rPr>
          <w:rFonts w:eastAsia="Times New Roman" w:cstheme="minorHAnsi"/>
          <w:bCs/>
          <w:kern w:val="0"/>
          <w:sz w:val="24"/>
          <w:szCs w:val="24"/>
          <w:lang w:eastAsia="nl-NL"/>
          <w14:ligatures w14:val="none"/>
        </w:rPr>
        <w:t>Daarnaast houdt dit fonds ook rekening met een aantal ander duurzaamheidsaspecten.</w:t>
      </w:r>
      <w:r w:rsidR="003E0888">
        <w:rPr>
          <w:rFonts w:eastAsia="Times New Roman" w:cstheme="minorHAnsi"/>
          <w:bCs/>
          <w:kern w:val="0"/>
          <w:sz w:val="24"/>
          <w:szCs w:val="24"/>
          <w:lang w:eastAsia="nl-NL"/>
          <w14:ligatures w14:val="none"/>
        </w:rPr>
        <w:t xml:space="preserve"> </w:t>
      </w:r>
    </w:p>
    <w:p w14:paraId="627FC2BF" w14:textId="6EFB0BA8" w:rsidR="000E5C61" w:rsidRPr="00764CE9" w:rsidRDefault="000E5C61" w:rsidP="008505D6">
      <w:pPr>
        <w:spacing w:after="0" w:line="240" w:lineRule="auto"/>
        <w:rPr>
          <w:rFonts w:eastAsia="Times New Roman" w:cstheme="minorHAnsi"/>
          <w:bCs/>
          <w:kern w:val="0"/>
          <w:sz w:val="24"/>
          <w:szCs w:val="24"/>
          <w:lang w:eastAsia="nl-NL"/>
          <w14:ligatures w14:val="none"/>
        </w:rPr>
      </w:pPr>
    </w:p>
    <w:p w14:paraId="3BA39907" w14:textId="1E0AC816" w:rsidR="00A76ED5" w:rsidRPr="00764CE9" w:rsidRDefault="000E5C61" w:rsidP="008505D6">
      <w:pPr>
        <w:spacing w:after="0" w:line="240" w:lineRule="auto"/>
        <w:rPr>
          <w:rFonts w:eastAsia="Times New Roman" w:cstheme="minorHAnsi"/>
          <w:bCs/>
          <w:kern w:val="0"/>
          <w:sz w:val="24"/>
          <w:szCs w:val="24"/>
          <w:lang w:eastAsia="nl-NL"/>
          <w14:ligatures w14:val="none"/>
        </w:rPr>
      </w:pPr>
      <w:r w:rsidRPr="00764CE9">
        <w:rPr>
          <w:rFonts w:eastAsia="Times New Roman" w:cstheme="minorHAnsi"/>
          <w:b/>
          <w:kern w:val="0"/>
          <w:sz w:val="24"/>
          <w:szCs w:val="24"/>
          <w:lang w:eastAsia="nl-NL"/>
          <w14:ligatures w14:val="none"/>
        </w:rPr>
        <w:t>Figuur 3</w:t>
      </w:r>
      <w:r w:rsidRPr="00764CE9">
        <w:rPr>
          <w:rFonts w:eastAsia="Times New Roman" w:cstheme="minorHAnsi"/>
          <w:bCs/>
          <w:kern w:val="0"/>
          <w:sz w:val="24"/>
          <w:szCs w:val="24"/>
          <w:lang w:eastAsia="nl-NL"/>
          <w14:ligatures w14:val="none"/>
        </w:rPr>
        <w:t xml:space="preserve"> laat </w:t>
      </w:r>
      <w:r w:rsidR="00690F44">
        <w:rPr>
          <w:rFonts w:eastAsia="Times New Roman" w:cstheme="minorHAnsi"/>
          <w:bCs/>
          <w:kern w:val="0"/>
          <w:sz w:val="24"/>
          <w:szCs w:val="24"/>
          <w:lang w:eastAsia="nl-NL"/>
          <w14:ligatures w14:val="none"/>
        </w:rPr>
        <w:t>meerder</w:t>
      </w:r>
      <w:r w:rsidR="00C05B2E">
        <w:rPr>
          <w:rFonts w:eastAsia="Times New Roman" w:cstheme="minorHAnsi"/>
          <w:bCs/>
          <w:kern w:val="0"/>
          <w:sz w:val="24"/>
          <w:szCs w:val="24"/>
          <w:lang w:eastAsia="nl-NL"/>
          <w14:ligatures w14:val="none"/>
        </w:rPr>
        <w:t>e</w:t>
      </w:r>
      <w:r w:rsidR="00690F44">
        <w:rPr>
          <w:rFonts w:eastAsia="Times New Roman" w:cstheme="minorHAnsi"/>
          <w:bCs/>
          <w:kern w:val="0"/>
          <w:sz w:val="24"/>
          <w:szCs w:val="24"/>
          <w:lang w:eastAsia="nl-NL"/>
          <w14:ligatures w14:val="none"/>
        </w:rPr>
        <w:t xml:space="preserve"> dingen zien. Allereerst </w:t>
      </w:r>
      <w:r w:rsidRPr="00764CE9">
        <w:rPr>
          <w:rFonts w:eastAsia="Times New Roman" w:cstheme="minorHAnsi"/>
          <w:bCs/>
          <w:kern w:val="0"/>
          <w:sz w:val="24"/>
          <w:szCs w:val="24"/>
          <w:lang w:eastAsia="nl-NL"/>
          <w14:ligatures w14:val="none"/>
        </w:rPr>
        <w:t xml:space="preserve">de </w:t>
      </w:r>
      <w:r w:rsidR="00852BE6" w:rsidRPr="00764CE9">
        <w:rPr>
          <w:rFonts w:eastAsia="Times New Roman" w:cstheme="minorHAnsi"/>
          <w:bCs/>
          <w:kern w:val="0"/>
          <w:sz w:val="24"/>
          <w:szCs w:val="24"/>
          <w:lang w:eastAsia="nl-NL"/>
          <w14:ligatures w14:val="none"/>
        </w:rPr>
        <w:t>CO</w:t>
      </w:r>
      <w:r w:rsidR="00852BE6" w:rsidRPr="00764CE9">
        <w:rPr>
          <w:rFonts w:eastAsia="Times New Roman" w:cstheme="minorHAnsi"/>
          <w:bCs/>
          <w:kern w:val="0"/>
          <w:sz w:val="24"/>
          <w:szCs w:val="24"/>
          <w:vertAlign w:val="subscript"/>
          <w:lang w:eastAsia="nl-NL"/>
          <w14:ligatures w14:val="none"/>
        </w:rPr>
        <w:t>2</w:t>
      </w:r>
      <w:r w:rsidR="00852BE6" w:rsidRPr="00764CE9">
        <w:rPr>
          <w:rFonts w:eastAsia="Times New Roman" w:cstheme="minorHAnsi"/>
          <w:bCs/>
          <w:kern w:val="0"/>
          <w:sz w:val="24"/>
          <w:szCs w:val="24"/>
          <w:lang w:eastAsia="nl-NL"/>
          <w14:ligatures w14:val="none"/>
        </w:rPr>
        <w:t>-</w:t>
      </w:r>
      <w:r w:rsidRPr="00764CE9">
        <w:rPr>
          <w:rFonts w:eastAsia="Times New Roman" w:cstheme="minorHAnsi"/>
          <w:bCs/>
          <w:kern w:val="0"/>
          <w:sz w:val="24"/>
          <w:szCs w:val="24"/>
          <w:lang w:eastAsia="nl-NL"/>
          <w14:ligatures w14:val="none"/>
        </w:rPr>
        <w:t xml:space="preserve">uitstoot van het PAB-aandelenfonds </w:t>
      </w:r>
      <w:r w:rsidR="0080162E" w:rsidRPr="00764CE9">
        <w:rPr>
          <w:rFonts w:eastAsia="Times New Roman" w:cstheme="minorHAnsi"/>
          <w:bCs/>
          <w:kern w:val="0"/>
          <w:sz w:val="24"/>
          <w:szCs w:val="24"/>
          <w:lang w:eastAsia="nl-NL"/>
          <w14:ligatures w14:val="none"/>
        </w:rPr>
        <w:t>vanaf 30 juni 2020</w:t>
      </w:r>
      <w:r w:rsidR="00690F44">
        <w:rPr>
          <w:rFonts w:eastAsia="Times New Roman" w:cstheme="minorHAnsi"/>
          <w:bCs/>
          <w:kern w:val="0"/>
          <w:sz w:val="24"/>
          <w:szCs w:val="24"/>
          <w:lang w:eastAsia="nl-NL"/>
          <w14:ligatures w14:val="none"/>
        </w:rPr>
        <w:t xml:space="preserve"> (start fonds)</w:t>
      </w:r>
      <w:r w:rsidR="0080162E" w:rsidRPr="00764CE9">
        <w:rPr>
          <w:rFonts w:eastAsia="Times New Roman" w:cstheme="minorHAnsi"/>
          <w:bCs/>
          <w:kern w:val="0"/>
          <w:sz w:val="24"/>
          <w:szCs w:val="24"/>
          <w:lang w:eastAsia="nl-NL"/>
          <w14:ligatures w14:val="none"/>
        </w:rPr>
        <w:t xml:space="preserve"> tot heden</w:t>
      </w:r>
      <w:r w:rsidR="000A3604" w:rsidRPr="00764CE9">
        <w:rPr>
          <w:rFonts w:eastAsia="Times New Roman" w:cstheme="minorHAnsi"/>
          <w:bCs/>
          <w:kern w:val="0"/>
          <w:sz w:val="24"/>
          <w:szCs w:val="24"/>
          <w:lang w:eastAsia="nl-NL"/>
          <w14:ligatures w14:val="none"/>
        </w:rPr>
        <w:t xml:space="preserve"> zien</w:t>
      </w:r>
      <w:r w:rsidRPr="00764CE9">
        <w:rPr>
          <w:rFonts w:eastAsia="Times New Roman" w:cstheme="minorHAnsi"/>
          <w:bCs/>
          <w:kern w:val="0"/>
          <w:sz w:val="24"/>
          <w:szCs w:val="24"/>
          <w:lang w:eastAsia="nl-NL"/>
          <w14:ligatures w14:val="none"/>
        </w:rPr>
        <w:t xml:space="preserve">. </w:t>
      </w:r>
      <w:r w:rsidR="008505D6">
        <w:rPr>
          <w:rFonts w:eastAsia="Times New Roman" w:cstheme="minorHAnsi"/>
          <w:bCs/>
          <w:kern w:val="0"/>
          <w:sz w:val="24"/>
          <w:szCs w:val="24"/>
          <w:lang w:eastAsia="nl-NL"/>
          <w14:ligatures w14:val="none"/>
        </w:rPr>
        <w:t>De rode lijn laat zien wat het pad van het fonds zou zijn geweest bij een reductie van</w:t>
      </w:r>
      <w:r w:rsidRPr="00764CE9">
        <w:rPr>
          <w:rFonts w:eastAsia="Times New Roman" w:cstheme="minorHAnsi"/>
          <w:bCs/>
          <w:kern w:val="0"/>
          <w:sz w:val="24"/>
          <w:szCs w:val="24"/>
          <w:lang w:eastAsia="nl-NL"/>
          <w14:ligatures w14:val="none"/>
        </w:rPr>
        <w:t xml:space="preserve"> de CO</w:t>
      </w:r>
      <w:r w:rsidRPr="00764CE9">
        <w:rPr>
          <w:rFonts w:eastAsia="Times New Roman" w:cstheme="minorHAnsi"/>
          <w:bCs/>
          <w:kern w:val="0"/>
          <w:sz w:val="24"/>
          <w:szCs w:val="24"/>
          <w:vertAlign w:val="subscript"/>
          <w:lang w:eastAsia="nl-NL"/>
          <w14:ligatures w14:val="none"/>
        </w:rPr>
        <w:t>2</w:t>
      </w:r>
      <w:r w:rsidRPr="00764CE9">
        <w:rPr>
          <w:rFonts w:eastAsia="Times New Roman" w:cstheme="minorHAnsi"/>
          <w:bCs/>
          <w:kern w:val="0"/>
          <w:sz w:val="24"/>
          <w:szCs w:val="24"/>
          <w:lang w:eastAsia="nl-NL"/>
          <w14:ligatures w14:val="none"/>
        </w:rPr>
        <w:t>e-intensiteit</w:t>
      </w:r>
      <w:r w:rsidR="008505D6" w:rsidRPr="00F57CDD">
        <w:rPr>
          <w:rFonts w:eastAsia="Times New Roman" w:cstheme="minorHAnsi"/>
          <w:bCs/>
          <w:kern w:val="0"/>
          <w:sz w:val="24"/>
          <w:szCs w:val="24"/>
          <w:lang w:eastAsia="nl-NL"/>
          <w14:ligatures w14:val="none"/>
        </w:rPr>
        <w:t>.</w:t>
      </w:r>
      <w:r w:rsidRPr="00F57CDD">
        <w:rPr>
          <w:rFonts w:eastAsia="Times New Roman" w:cstheme="minorHAnsi"/>
          <w:bCs/>
          <w:kern w:val="0"/>
          <w:sz w:val="24"/>
          <w:szCs w:val="24"/>
          <w:lang w:eastAsia="nl-NL"/>
          <w14:ligatures w14:val="none"/>
        </w:rPr>
        <w:t xml:space="preserve"> </w:t>
      </w:r>
      <w:r w:rsidR="008505D6" w:rsidRPr="00F57CDD">
        <w:rPr>
          <w:rFonts w:eastAsia="Times New Roman" w:cstheme="minorHAnsi"/>
          <w:bCs/>
          <w:kern w:val="0"/>
          <w:sz w:val="24"/>
          <w:szCs w:val="24"/>
          <w:lang w:eastAsia="nl-NL"/>
          <w14:ligatures w14:val="none"/>
        </w:rPr>
        <w:t>In</w:t>
      </w:r>
      <w:r w:rsidR="00811F93" w:rsidRPr="00F57CDD">
        <w:rPr>
          <w:rFonts w:eastAsia="Times New Roman" w:cstheme="minorHAnsi"/>
          <w:bCs/>
          <w:kern w:val="0"/>
          <w:sz w:val="24"/>
          <w:szCs w:val="24"/>
          <w:lang w:eastAsia="nl-NL"/>
          <w14:ligatures w14:val="none"/>
        </w:rPr>
        <w:t xml:space="preserve"> </w:t>
      </w:r>
      <w:r w:rsidR="00C05B2E">
        <w:rPr>
          <w:rFonts w:eastAsia="Times New Roman" w:cstheme="minorHAnsi"/>
          <w:bCs/>
          <w:kern w:val="0"/>
          <w:sz w:val="24"/>
          <w:szCs w:val="24"/>
          <w:lang w:eastAsia="nl-NL"/>
          <w14:ligatures w14:val="none"/>
        </w:rPr>
        <w:t>september</w:t>
      </w:r>
      <w:r w:rsidR="008505D6" w:rsidRPr="00F57CDD">
        <w:rPr>
          <w:rFonts w:eastAsia="Times New Roman" w:cstheme="minorHAnsi"/>
          <w:bCs/>
          <w:kern w:val="0"/>
          <w:sz w:val="24"/>
          <w:szCs w:val="24"/>
          <w:lang w:eastAsia="nl-NL"/>
          <w14:ligatures w14:val="none"/>
        </w:rPr>
        <w:t xml:space="preserve"> 2025 </w:t>
      </w:r>
      <w:r w:rsidR="00EB328E">
        <w:rPr>
          <w:rFonts w:eastAsia="Times New Roman" w:cstheme="minorHAnsi"/>
          <w:bCs/>
          <w:kern w:val="0"/>
          <w:sz w:val="24"/>
          <w:szCs w:val="24"/>
          <w:lang w:eastAsia="nl-NL"/>
          <w14:ligatures w14:val="none"/>
        </w:rPr>
        <w:t xml:space="preserve">(De </w:t>
      </w:r>
      <w:r w:rsidR="002C6289" w:rsidRPr="00764CE9">
        <w:rPr>
          <w:rFonts w:eastAsia="Times New Roman" w:cstheme="minorHAnsi"/>
          <w:bCs/>
          <w:kern w:val="0"/>
          <w:sz w:val="24"/>
          <w:szCs w:val="24"/>
          <w:lang w:eastAsia="nl-NL"/>
          <w14:ligatures w14:val="none"/>
        </w:rPr>
        <w:t>CO</w:t>
      </w:r>
      <w:r w:rsidR="002C6289" w:rsidRPr="00764CE9">
        <w:rPr>
          <w:rFonts w:eastAsia="Times New Roman" w:cstheme="minorHAnsi"/>
          <w:bCs/>
          <w:kern w:val="0"/>
          <w:sz w:val="24"/>
          <w:szCs w:val="24"/>
          <w:vertAlign w:val="subscript"/>
          <w:lang w:eastAsia="nl-NL"/>
          <w14:ligatures w14:val="none"/>
        </w:rPr>
        <w:t>2</w:t>
      </w:r>
      <w:r w:rsidR="002C6289" w:rsidRPr="00764CE9">
        <w:rPr>
          <w:rFonts w:eastAsia="Times New Roman" w:cstheme="minorHAnsi"/>
          <w:bCs/>
          <w:kern w:val="0"/>
          <w:sz w:val="24"/>
          <w:szCs w:val="24"/>
          <w:lang w:eastAsia="nl-NL"/>
          <w14:ligatures w14:val="none"/>
        </w:rPr>
        <w:t xml:space="preserve">-uitstoot </w:t>
      </w:r>
      <w:r w:rsidR="002C6289">
        <w:rPr>
          <w:rFonts w:eastAsia="Times New Roman" w:cstheme="minorHAnsi"/>
          <w:bCs/>
          <w:kern w:val="0"/>
          <w:sz w:val="24"/>
          <w:szCs w:val="24"/>
          <w:lang w:eastAsia="nl-NL"/>
          <w14:ligatures w14:val="none"/>
        </w:rPr>
        <w:t>voor dit fonds wordt gerapporteerd met een kwartaal vertraging</w:t>
      </w:r>
      <w:r w:rsidR="00EB328E">
        <w:rPr>
          <w:rFonts w:eastAsia="Times New Roman" w:cstheme="minorHAnsi"/>
          <w:bCs/>
          <w:kern w:val="0"/>
          <w:sz w:val="24"/>
          <w:szCs w:val="24"/>
          <w:lang w:eastAsia="nl-NL"/>
          <w14:ligatures w14:val="none"/>
        </w:rPr>
        <w:t>)</w:t>
      </w:r>
      <w:r w:rsidR="002C6289">
        <w:rPr>
          <w:rFonts w:eastAsia="Times New Roman" w:cstheme="minorHAnsi"/>
          <w:bCs/>
          <w:kern w:val="0"/>
          <w:sz w:val="24"/>
          <w:szCs w:val="24"/>
          <w:lang w:eastAsia="nl-NL"/>
          <w14:ligatures w14:val="none"/>
        </w:rPr>
        <w:t xml:space="preserve"> </w:t>
      </w:r>
      <w:r w:rsidR="008505D6" w:rsidRPr="00F57CDD">
        <w:rPr>
          <w:rFonts w:eastAsia="Times New Roman" w:cstheme="minorHAnsi"/>
          <w:bCs/>
          <w:kern w:val="0"/>
          <w:sz w:val="24"/>
          <w:szCs w:val="24"/>
          <w:lang w:eastAsia="nl-NL"/>
          <w14:ligatures w14:val="none"/>
        </w:rPr>
        <w:t>zou bij een constante daling van 10% per jaar deze waarde 1</w:t>
      </w:r>
      <w:r w:rsidR="00C05B2E">
        <w:rPr>
          <w:rFonts w:eastAsia="Times New Roman" w:cstheme="minorHAnsi"/>
          <w:bCs/>
          <w:kern w:val="0"/>
          <w:sz w:val="24"/>
          <w:szCs w:val="24"/>
          <w:lang w:eastAsia="nl-NL"/>
          <w14:ligatures w14:val="none"/>
        </w:rPr>
        <w:t>28</w:t>
      </w:r>
      <w:r w:rsidR="008505D6" w:rsidRPr="00F57CDD">
        <w:rPr>
          <w:rFonts w:eastAsia="Times New Roman" w:cstheme="minorHAnsi"/>
          <w:bCs/>
          <w:kern w:val="0"/>
          <w:sz w:val="24"/>
          <w:szCs w:val="24"/>
          <w:lang w:eastAsia="nl-NL"/>
          <w14:ligatures w14:val="none"/>
        </w:rPr>
        <w:t xml:space="preserve"> zijn</w:t>
      </w:r>
      <w:r w:rsidR="00523D66" w:rsidRPr="00F57CDD">
        <w:rPr>
          <w:rFonts w:eastAsia="Times New Roman" w:cstheme="minorHAnsi"/>
          <w:bCs/>
          <w:kern w:val="0"/>
          <w:sz w:val="24"/>
          <w:szCs w:val="24"/>
          <w:lang w:eastAsia="nl-NL"/>
          <w14:ligatures w14:val="none"/>
        </w:rPr>
        <w:t xml:space="preserve"> (bij 5% daling dus 15</w:t>
      </w:r>
      <w:r w:rsidR="00C05B2E">
        <w:rPr>
          <w:rFonts w:eastAsia="Times New Roman" w:cstheme="minorHAnsi"/>
          <w:bCs/>
          <w:kern w:val="0"/>
          <w:sz w:val="24"/>
          <w:szCs w:val="24"/>
          <w:lang w:eastAsia="nl-NL"/>
          <w14:ligatures w14:val="none"/>
        </w:rPr>
        <w:t>3</w:t>
      </w:r>
      <w:r w:rsidR="00523D66" w:rsidRPr="00F57CDD">
        <w:rPr>
          <w:rFonts w:eastAsia="Times New Roman" w:cstheme="minorHAnsi"/>
          <w:bCs/>
          <w:kern w:val="0"/>
          <w:sz w:val="24"/>
          <w:szCs w:val="24"/>
          <w:lang w:eastAsia="nl-NL"/>
          <w14:ligatures w14:val="none"/>
        </w:rPr>
        <w:t>)</w:t>
      </w:r>
      <w:r w:rsidR="00FB1BC9">
        <w:rPr>
          <w:rFonts w:eastAsia="Times New Roman" w:cstheme="minorHAnsi"/>
          <w:bCs/>
          <w:kern w:val="0"/>
          <w:sz w:val="24"/>
          <w:szCs w:val="24"/>
          <w:lang w:eastAsia="nl-NL"/>
          <w14:ligatures w14:val="none"/>
        </w:rPr>
        <w:t>.</w:t>
      </w:r>
    </w:p>
    <w:p w14:paraId="5D1CF7BF" w14:textId="77777777" w:rsidR="00FF3A47" w:rsidRDefault="00FF3A47" w:rsidP="008505D6">
      <w:pPr>
        <w:spacing w:after="0" w:line="240" w:lineRule="auto"/>
        <w:rPr>
          <w:rFonts w:eastAsia="Times New Roman" w:cstheme="minorHAnsi"/>
          <w:bCs/>
          <w:kern w:val="0"/>
          <w:sz w:val="24"/>
          <w:szCs w:val="24"/>
          <w:lang w:eastAsia="nl-NL"/>
          <w14:ligatures w14:val="none"/>
        </w:rPr>
      </w:pPr>
    </w:p>
    <w:p w14:paraId="389541E8" w14:textId="6EBC846C" w:rsidR="000E5C61" w:rsidRDefault="00C1348F" w:rsidP="008505D6">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De roze lijn geeft het werkelijke pad van het aandelenfonds aan sinds </w:t>
      </w:r>
      <w:r w:rsidR="00A76ED5" w:rsidRPr="00764CE9">
        <w:rPr>
          <w:rFonts w:eastAsia="Times New Roman" w:cstheme="minorHAnsi"/>
          <w:bCs/>
          <w:kern w:val="0"/>
          <w:sz w:val="24"/>
          <w:szCs w:val="24"/>
          <w:lang w:eastAsia="nl-NL"/>
          <w14:ligatures w14:val="none"/>
        </w:rPr>
        <w:t xml:space="preserve">Pensioenfonds TNO </w:t>
      </w:r>
      <w:r>
        <w:rPr>
          <w:rFonts w:eastAsia="Times New Roman" w:cstheme="minorHAnsi"/>
          <w:bCs/>
          <w:kern w:val="0"/>
          <w:sz w:val="24"/>
          <w:szCs w:val="24"/>
          <w:lang w:eastAsia="nl-NL"/>
          <w14:ligatures w14:val="none"/>
        </w:rPr>
        <w:t>in het fonds is belegd. I</w:t>
      </w:r>
      <w:r w:rsidR="008505D6">
        <w:rPr>
          <w:rFonts w:eastAsia="Times New Roman" w:cstheme="minorHAnsi"/>
          <w:bCs/>
          <w:kern w:val="0"/>
          <w:sz w:val="24"/>
          <w:szCs w:val="24"/>
          <w:lang w:eastAsia="nl-NL"/>
          <w14:ligatures w14:val="none"/>
        </w:rPr>
        <w:t xml:space="preserve">n augustus 2023 </w:t>
      </w:r>
      <w:r>
        <w:rPr>
          <w:rFonts w:eastAsia="Times New Roman" w:cstheme="minorHAnsi"/>
          <w:bCs/>
          <w:kern w:val="0"/>
          <w:sz w:val="24"/>
          <w:szCs w:val="24"/>
          <w:lang w:eastAsia="nl-NL"/>
          <w14:ligatures w14:val="none"/>
        </w:rPr>
        <w:t xml:space="preserve">zijn we </w:t>
      </w:r>
      <w:r w:rsidR="008505D6">
        <w:rPr>
          <w:rFonts w:eastAsia="Times New Roman" w:cstheme="minorHAnsi"/>
          <w:bCs/>
          <w:kern w:val="0"/>
          <w:sz w:val="24"/>
          <w:szCs w:val="24"/>
          <w:lang w:eastAsia="nl-NL"/>
          <w14:ligatures w14:val="none"/>
        </w:rPr>
        <w:t>in het fonds gaan beleggen</w:t>
      </w:r>
      <w:r>
        <w:rPr>
          <w:rFonts w:eastAsia="Times New Roman" w:cstheme="minorHAnsi"/>
          <w:bCs/>
          <w:kern w:val="0"/>
          <w:sz w:val="24"/>
          <w:szCs w:val="24"/>
          <w:lang w:eastAsia="nl-NL"/>
          <w14:ligatures w14:val="none"/>
        </w:rPr>
        <w:t xml:space="preserve">, </w:t>
      </w:r>
      <w:r w:rsidR="00545446">
        <w:rPr>
          <w:rFonts w:eastAsia="Times New Roman" w:cstheme="minorHAnsi"/>
          <w:bCs/>
          <w:kern w:val="0"/>
          <w:sz w:val="24"/>
          <w:szCs w:val="24"/>
          <w:lang w:eastAsia="nl-NL"/>
          <w14:ligatures w14:val="none"/>
        </w:rPr>
        <w:t>het fonds</w:t>
      </w:r>
      <w:r>
        <w:rPr>
          <w:rFonts w:eastAsia="Times New Roman" w:cstheme="minorHAnsi"/>
          <w:bCs/>
          <w:kern w:val="0"/>
          <w:sz w:val="24"/>
          <w:szCs w:val="24"/>
          <w:lang w:eastAsia="nl-NL"/>
          <w14:ligatures w14:val="none"/>
        </w:rPr>
        <w:t xml:space="preserve"> had toen een waarde</w:t>
      </w:r>
      <w:r w:rsidR="00A76ED5" w:rsidRPr="00764CE9">
        <w:rPr>
          <w:rFonts w:eastAsia="Times New Roman" w:cstheme="minorHAnsi"/>
          <w:bCs/>
          <w:kern w:val="0"/>
          <w:sz w:val="24"/>
          <w:szCs w:val="24"/>
          <w:lang w:eastAsia="nl-NL"/>
          <w14:ligatures w14:val="none"/>
        </w:rPr>
        <w:t xml:space="preserve"> van 99</w:t>
      </w:r>
      <w:r>
        <w:rPr>
          <w:rFonts w:eastAsia="Times New Roman" w:cstheme="minorHAnsi"/>
          <w:bCs/>
          <w:kern w:val="0"/>
          <w:sz w:val="24"/>
          <w:szCs w:val="24"/>
          <w:lang w:eastAsia="nl-NL"/>
          <w14:ligatures w14:val="none"/>
        </w:rPr>
        <w:t xml:space="preserve">. Het </w:t>
      </w:r>
      <w:r w:rsidR="00545446">
        <w:rPr>
          <w:rFonts w:eastAsia="Times New Roman" w:cstheme="minorHAnsi"/>
          <w:bCs/>
          <w:kern w:val="0"/>
          <w:sz w:val="24"/>
          <w:szCs w:val="24"/>
          <w:lang w:eastAsia="nl-NL"/>
          <w14:ligatures w14:val="none"/>
        </w:rPr>
        <w:t xml:space="preserve">staat nu </w:t>
      </w:r>
      <w:r w:rsidR="00C24A32" w:rsidRPr="00764CE9">
        <w:rPr>
          <w:rFonts w:eastAsia="Times New Roman" w:cstheme="minorHAnsi"/>
          <w:bCs/>
          <w:kern w:val="0"/>
          <w:sz w:val="24"/>
          <w:szCs w:val="24"/>
          <w:lang w:eastAsia="nl-NL"/>
          <w14:ligatures w14:val="none"/>
        </w:rPr>
        <w:t xml:space="preserve">op </w:t>
      </w:r>
      <w:r w:rsidR="00545446">
        <w:rPr>
          <w:rFonts w:eastAsia="Times New Roman" w:cstheme="minorHAnsi"/>
          <w:bCs/>
          <w:kern w:val="0"/>
          <w:sz w:val="24"/>
          <w:szCs w:val="24"/>
          <w:lang w:eastAsia="nl-NL"/>
          <w14:ligatures w14:val="none"/>
        </w:rPr>
        <w:t xml:space="preserve">een </w:t>
      </w:r>
      <w:r w:rsidR="00C24A32" w:rsidRPr="00764CE9">
        <w:rPr>
          <w:rFonts w:eastAsia="Times New Roman" w:cstheme="minorHAnsi"/>
          <w:bCs/>
          <w:kern w:val="0"/>
          <w:sz w:val="24"/>
          <w:szCs w:val="24"/>
          <w:lang w:eastAsia="nl-NL"/>
          <w14:ligatures w14:val="none"/>
        </w:rPr>
        <w:t xml:space="preserve">waarde van </w:t>
      </w:r>
      <w:r w:rsidR="00811F93">
        <w:rPr>
          <w:rFonts w:eastAsia="Times New Roman" w:cstheme="minorHAnsi"/>
          <w:bCs/>
          <w:kern w:val="0"/>
          <w:sz w:val="24"/>
          <w:szCs w:val="24"/>
          <w:lang w:eastAsia="nl-NL"/>
          <w14:ligatures w14:val="none"/>
        </w:rPr>
        <w:t>5</w:t>
      </w:r>
      <w:r w:rsidR="00C05B2E">
        <w:rPr>
          <w:rFonts w:eastAsia="Times New Roman" w:cstheme="minorHAnsi"/>
          <w:bCs/>
          <w:kern w:val="0"/>
          <w:sz w:val="24"/>
          <w:szCs w:val="24"/>
          <w:lang w:eastAsia="nl-NL"/>
          <w14:ligatures w14:val="none"/>
        </w:rPr>
        <w:t>9</w:t>
      </w:r>
      <w:r w:rsidR="00C24A32" w:rsidRPr="00764CE9">
        <w:rPr>
          <w:rFonts w:eastAsia="Times New Roman" w:cstheme="minorHAnsi"/>
          <w:bCs/>
          <w:kern w:val="0"/>
          <w:sz w:val="24"/>
          <w:szCs w:val="24"/>
          <w:lang w:eastAsia="nl-NL"/>
          <w14:ligatures w14:val="none"/>
        </w:rPr>
        <w:t xml:space="preserve">, wat dus </w:t>
      </w:r>
      <w:r w:rsidR="00545446">
        <w:rPr>
          <w:rFonts w:eastAsia="Times New Roman" w:cstheme="minorHAnsi"/>
          <w:bCs/>
          <w:kern w:val="0"/>
          <w:sz w:val="24"/>
          <w:szCs w:val="24"/>
          <w:lang w:eastAsia="nl-NL"/>
          <w14:ligatures w14:val="none"/>
        </w:rPr>
        <w:t>nog steeds ruim onder het 10% reductie-scenario is.</w:t>
      </w:r>
    </w:p>
    <w:p w14:paraId="1A783A65" w14:textId="309F28D4" w:rsidR="00523D66" w:rsidRPr="00764CE9" w:rsidRDefault="00523D66" w:rsidP="008505D6">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De groene lijn geeft het scenario aan wat er gebeurd zou zijn als we niet in dit Paris Aligned fonds zouden hebben belegd, maar in de brede MSCI</w:t>
      </w:r>
      <w:r w:rsidR="00495BB9">
        <w:rPr>
          <w:rFonts w:eastAsia="Times New Roman" w:cstheme="minorHAnsi"/>
          <w:bCs/>
          <w:kern w:val="0"/>
          <w:sz w:val="24"/>
          <w:szCs w:val="24"/>
          <w:lang w:eastAsia="nl-NL"/>
          <w14:ligatures w14:val="none"/>
        </w:rPr>
        <w:t>-</w:t>
      </w:r>
      <w:r>
        <w:rPr>
          <w:rFonts w:eastAsia="Times New Roman" w:cstheme="minorHAnsi"/>
          <w:bCs/>
          <w:kern w:val="0"/>
          <w:sz w:val="24"/>
          <w:szCs w:val="24"/>
          <w:lang w:eastAsia="nl-NL"/>
          <w14:ligatures w14:val="none"/>
        </w:rPr>
        <w:t xml:space="preserve">wereldindex, waar bijvoorbeeld ook oliemaatschappijen (waar wij nu niet in beleggen) zijn vertegenwoordigd. </w:t>
      </w:r>
      <w:r w:rsidR="00C05B2E">
        <w:rPr>
          <w:rFonts w:eastAsia="Times New Roman" w:cstheme="minorHAnsi"/>
          <w:bCs/>
          <w:kern w:val="0"/>
          <w:sz w:val="24"/>
          <w:szCs w:val="24"/>
          <w:lang w:eastAsia="nl-NL"/>
          <w14:ligatures w14:val="none"/>
        </w:rPr>
        <w:t xml:space="preserve">301 </w:t>
      </w:r>
      <w:r>
        <w:rPr>
          <w:rFonts w:eastAsia="Times New Roman" w:cstheme="minorHAnsi"/>
          <w:bCs/>
          <w:kern w:val="0"/>
          <w:sz w:val="24"/>
          <w:szCs w:val="24"/>
          <w:lang w:eastAsia="nl-NL"/>
          <w14:ligatures w14:val="none"/>
        </w:rPr>
        <w:t xml:space="preserve">is een groot verschil met de </w:t>
      </w:r>
      <w:r w:rsidR="00811F93">
        <w:rPr>
          <w:rFonts w:eastAsia="Times New Roman" w:cstheme="minorHAnsi"/>
          <w:bCs/>
          <w:kern w:val="0"/>
          <w:sz w:val="24"/>
          <w:szCs w:val="24"/>
          <w:lang w:eastAsia="nl-NL"/>
          <w14:ligatures w14:val="none"/>
        </w:rPr>
        <w:t>5</w:t>
      </w:r>
      <w:r w:rsidR="00495BB9">
        <w:rPr>
          <w:rFonts w:eastAsia="Times New Roman" w:cstheme="minorHAnsi"/>
          <w:bCs/>
          <w:kern w:val="0"/>
          <w:sz w:val="24"/>
          <w:szCs w:val="24"/>
          <w:lang w:eastAsia="nl-NL"/>
          <w14:ligatures w14:val="none"/>
        </w:rPr>
        <w:t>9</w:t>
      </w:r>
      <w:r>
        <w:rPr>
          <w:rFonts w:eastAsia="Times New Roman" w:cstheme="minorHAnsi"/>
          <w:bCs/>
          <w:kern w:val="0"/>
          <w:sz w:val="24"/>
          <w:szCs w:val="24"/>
          <w:lang w:eastAsia="nl-NL"/>
          <w14:ligatures w14:val="none"/>
        </w:rPr>
        <w:t xml:space="preserve"> waar wij nu op zitten.</w:t>
      </w:r>
    </w:p>
    <w:p w14:paraId="541F6496" w14:textId="77777777" w:rsidR="00C23926" w:rsidRDefault="00C23926" w:rsidP="000E5C61">
      <w:pPr>
        <w:spacing w:after="0" w:line="240" w:lineRule="auto"/>
        <w:jc w:val="both"/>
        <w:rPr>
          <w:rFonts w:ascii="Times New Roman" w:eastAsia="Times New Roman" w:hAnsi="Times New Roman" w:cs="Times New Roman"/>
          <w:bCs/>
          <w:kern w:val="0"/>
          <w:sz w:val="24"/>
          <w:szCs w:val="24"/>
          <w:lang w:eastAsia="nl-NL"/>
          <w14:ligatures w14:val="none"/>
        </w:rPr>
      </w:pPr>
    </w:p>
    <w:p w14:paraId="7452B63A" w14:textId="77777777" w:rsidR="00C23926" w:rsidRPr="00811F93" w:rsidRDefault="00C23926" w:rsidP="00C23926">
      <w:pPr>
        <w:spacing w:after="0" w:line="240" w:lineRule="auto"/>
        <w:jc w:val="both"/>
        <w:rPr>
          <w:rFonts w:eastAsia="Times New Roman" w:cstheme="minorHAnsi"/>
          <w:bCs/>
          <w:kern w:val="0"/>
          <w:sz w:val="24"/>
          <w:szCs w:val="24"/>
          <w:lang w:val="en-US" w:eastAsia="nl-NL"/>
          <w14:ligatures w14:val="none"/>
        </w:rPr>
      </w:pPr>
      <w:proofErr w:type="spellStart"/>
      <w:r w:rsidRPr="00811F93">
        <w:rPr>
          <w:rFonts w:eastAsia="Times New Roman" w:cstheme="minorHAnsi"/>
          <w:b/>
          <w:kern w:val="0"/>
          <w:sz w:val="24"/>
          <w:szCs w:val="24"/>
          <w:lang w:val="en-US" w:eastAsia="nl-NL"/>
          <w14:ligatures w14:val="none"/>
        </w:rPr>
        <w:t>Figuur</w:t>
      </w:r>
      <w:proofErr w:type="spellEnd"/>
      <w:r w:rsidRPr="00811F93">
        <w:rPr>
          <w:rFonts w:eastAsia="Times New Roman" w:cstheme="minorHAnsi"/>
          <w:b/>
          <w:kern w:val="0"/>
          <w:sz w:val="24"/>
          <w:szCs w:val="24"/>
          <w:lang w:val="en-US" w:eastAsia="nl-NL"/>
          <w14:ligatures w14:val="none"/>
        </w:rPr>
        <w:t xml:space="preserve"> 3: CO2e-reductiepad PAB-</w:t>
      </w:r>
      <w:proofErr w:type="spellStart"/>
      <w:r w:rsidRPr="00811F93">
        <w:rPr>
          <w:rFonts w:eastAsia="Times New Roman" w:cstheme="minorHAnsi"/>
          <w:b/>
          <w:kern w:val="0"/>
          <w:sz w:val="24"/>
          <w:szCs w:val="24"/>
          <w:lang w:val="en-US" w:eastAsia="nl-NL"/>
          <w14:ligatures w14:val="none"/>
        </w:rPr>
        <w:t>aandelenfonds</w:t>
      </w:r>
      <w:proofErr w:type="spellEnd"/>
    </w:p>
    <w:p w14:paraId="45C471D6" w14:textId="1E614FE7" w:rsidR="000E5C61" w:rsidRPr="00811F93" w:rsidRDefault="000E5C61" w:rsidP="00427979">
      <w:pPr>
        <w:spacing w:after="0" w:line="240" w:lineRule="auto"/>
        <w:jc w:val="both"/>
        <w:rPr>
          <w:rFonts w:ascii="Times New Roman" w:eastAsia="Times New Roman" w:hAnsi="Times New Roman" w:cs="Times New Roman"/>
          <w:b/>
          <w:kern w:val="0"/>
          <w:sz w:val="24"/>
          <w:szCs w:val="24"/>
          <w:lang w:val="en-US" w:eastAsia="nl-NL"/>
          <w14:ligatures w14:val="none"/>
        </w:rPr>
      </w:pPr>
    </w:p>
    <w:p w14:paraId="3B229009" w14:textId="062AB3BA" w:rsidR="00C23926" w:rsidRPr="00811F93" w:rsidRDefault="00C05B2E" w:rsidP="00C23926">
      <w:pPr>
        <w:rPr>
          <w:rFonts w:ascii="Times New Roman" w:eastAsia="Times New Roman" w:hAnsi="Times New Roman" w:cs="Times New Roman"/>
          <w:b/>
          <w:bCs/>
          <w:kern w:val="0"/>
          <w:sz w:val="28"/>
          <w:szCs w:val="28"/>
          <w:u w:val="single"/>
          <w:lang w:val="en-US" w:eastAsia="nl-NL"/>
          <w14:ligatures w14:val="none"/>
        </w:rPr>
      </w:pPr>
      <w:r w:rsidRPr="00C05B2E">
        <w:rPr>
          <w:rFonts w:ascii="Times New Roman" w:eastAsia="Times New Roman" w:hAnsi="Times New Roman" w:cs="Times New Roman"/>
          <w:b/>
          <w:bCs/>
          <w:noProof/>
          <w:kern w:val="0"/>
          <w:sz w:val="28"/>
          <w:szCs w:val="28"/>
          <w:u w:val="single"/>
          <w:lang w:val="en-US" w:eastAsia="nl-NL"/>
          <w14:ligatures w14:val="none"/>
        </w:rPr>
        <w:drawing>
          <wp:inline distT="0" distB="0" distL="0" distR="0" wp14:anchorId="2F3D910E" wp14:editId="3F32C253">
            <wp:extent cx="5585460" cy="3982488"/>
            <wp:effectExtent l="0" t="0" r="0" b="0"/>
            <wp:docPr id="332973443" name="Picture 1" descr="A graph of a graph showing the amount of gas in the emission reduction path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73443" name="Picture 1" descr="A graph of a graph showing the amount of gas in the emission reduction pathway&#10;&#10;AI-generated content may be incorrect."/>
                    <pic:cNvPicPr/>
                  </pic:nvPicPr>
                  <pic:blipFill>
                    <a:blip r:embed="rId17"/>
                    <a:stretch>
                      <a:fillRect/>
                    </a:stretch>
                  </pic:blipFill>
                  <pic:spPr>
                    <a:xfrm>
                      <a:off x="0" y="0"/>
                      <a:ext cx="5604643" cy="3996165"/>
                    </a:xfrm>
                    <a:prstGeom prst="rect">
                      <a:avLst/>
                    </a:prstGeom>
                  </pic:spPr>
                </pic:pic>
              </a:graphicData>
            </a:graphic>
          </wp:inline>
        </w:drawing>
      </w:r>
      <w:r w:rsidR="007E1F92" w:rsidRPr="00811F93">
        <w:rPr>
          <w:rFonts w:ascii="Times New Roman" w:eastAsia="Times New Roman" w:hAnsi="Times New Roman" w:cs="Times New Roman"/>
          <w:b/>
          <w:bCs/>
          <w:kern w:val="0"/>
          <w:sz w:val="28"/>
          <w:szCs w:val="28"/>
          <w:u w:val="single"/>
          <w:lang w:val="en-US" w:eastAsia="nl-NL"/>
          <w14:ligatures w14:val="none"/>
        </w:rPr>
        <w:br w:type="page"/>
      </w:r>
    </w:p>
    <w:p w14:paraId="1873D1C1" w14:textId="77777777" w:rsidR="007F0B22" w:rsidRDefault="007F0B22" w:rsidP="00C23926">
      <w:pPr>
        <w:rPr>
          <w:rFonts w:eastAsia="Times New Roman" w:cstheme="minorHAnsi"/>
          <w:b/>
          <w:kern w:val="0"/>
          <w:sz w:val="28"/>
          <w:szCs w:val="28"/>
          <w:u w:val="single"/>
          <w:lang w:eastAsia="nl-NL"/>
          <w14:ligatures w14:val="none"/>
        </w:rPr>
      </w:pPr>
    </w:p>
    <w:p w14:paraId="6B0B3430" w14:textId="70A581DC" w:rsidR="00C23926" w:rsidRPr="00107E40" w:rsidRDefault="00DC23B6" w:rsidP="00C23926">
      <w:pPr>
        <w:rPr>
          <w:rFonts w:eastAsia="Times New Roman" w:cstheme="minorHAnsi"/>
          <w:b/>
          <w:kern w:val="0"/>
          <w:sz w:val="28"/>
          <w:szCs w:val="28"/>
          <w:u w:val="single"/>
          <w:lang w:eastAsia="nl-NL"/>
          <w14:ligatures w14:val="none"/>
        </w:rPr>
      </w:pPr>
      <w:r w:rsidRPr="00107E40">
        <w:rPr>
          <w:rFonts w:eastAsia="Times New Roman" w:cstheme="minorHAnsi"/>
          <w:b/>
          <w:kern w:val="0"/>
          <w:sz w:val="28"/>
          <w:szCs w:val="28"/>
          <w:u w:val="single"/>
          <w:lang w:eastAsia="nl-NL"/>
          <w14:ligatures w14:val="none"/>
        </w:rPr>
        <w:t>CO</w:t>
      </w:r>
      <w:r w:rsidRPr="00107E40">
        <w:rPr>
          <w:rFonts w:eastAsia="Times New Roman" w:cstheme="minorHAnsi"/>
          <w:b/>
          <w:kern w:val="0"/>
          <w:sz w:val="28"/>
          <w:szCs w:val="28"/>
          <w:u w:val="single"/>
          <w:vertAlign w:val="subscript"/>
          <w:lang w:eastAsia="nl-NL"/>
          <w14:ligatures w14:val="none"/>
        </w:rPr>
        <w:t>2</w:t>
      </w:r>
      <w:r w:rsidRPr="00107E40">
        <w:rPr>
          <w:rFonts w:eastAsia="Times New Roman" w:cstheme="minorHAnsi"/>
          <w:b/>
          <w:kern w:val="0"/>
          <w:sz w:val="28"/>
          <w:szCs w:val="28"/>
          <w:u w:val="single"/>
          <w:lang w:eastAsia="nl-NL"/>
          <w14:ligatures w14:val="none"/>
        </w:rPr>
        <w:t>-reductie hypotheekportefeuille</w:t>
      </w:r>
    </w:p>
    <w:p w14:paraId="1784E669" w14:textId="112E2AF5" w:rsidR="00E053B8" w:rsidRDefault="00DC23B6" w:rsidP="00C23926">
      <w:pPr>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P</w:t>
      </w:r>
      <w:r w:rsidRPr="00764CE9">
        <w:rPr>
          <w:rFonts w:eastAsia="Times New Roman" w:cstheme="minorHAnsi"/>
          <w:bCs/>
          <w:kern w:val="0"/>
          <w:sz w:val="24"/>
          <w:szCs w:val="24"/>
          <w:lang w:eastAsia="nl-NL"/>
          <w14:ligatures w14:val="none"/>
        </w:rPr>
        <w:t xml:space="preserve">ensioenfonds TNO </w:t>
      </w:r>
      <w:r>
        <w:rPr>
          <w:rFonts w:eastAsia="Times New Roman" w:cstheme="minorHAnsi"/>
          <w:bCs/>
          <w:kern w:val="0"/>
          <w:sz w:val="24"/>
          <w:szCs w:val="24"/>
          <w:lang w:eastAsia="nl-NL"/>
          <w14:ligatures w14:val="none"/>
        </w:rPr>
        <w:t>belegt een deel van de</w:t>
      </w:r>
      <w:r w:rsidR="009C2BA4">
        <w:rPr>
          <w:rFonts w:eastAsia="Times New Roman" w:cstheme="minorHAnsi"/>
          <w:bCs/>
          <w:kern w:val="0"/>
          <w:sz w:val="24"/>
          <w:szCs w:val="24"/>
          <w:lang w:eastAsia="nl-NL"/>
          <w14:ligatures w14:val="none"/>
        </w:rPr>
        <w:t xml:space="preserve"> vastrentende</w:t>
      </w:r>
      <w:r>
        <w:rPr>
          <w:rFonts w:eastAsia="Times New Roman" w:cstheme="minorHAnsi"/>
          <w:bCs/>
          <w:kern w:val="0"/>
          <w:sz w:val="24"/>
          <w:szCs w:val="24"/>
          <w:lang w:eastAsia="nl-NL"/>
          <w14:ligatures w14:val="none"/>
        </w:rPr>
        <w:t xml:space="preserve"> portefeuille in de categorie hypotheken</w:t>
      </w:r>
      <w:r w:rsidR="009C2BA4">
        <w:rPr>
          <w:rFonts w:eastAsia="Times New Roman" w:cstheme="minorHAnsi"/>
          <w:bCs/>
          <w:kern w:val="0"/>
          <w:sz w:val="24"/>
          <w:szCs w:val="24"/>
          <w:lang w:eastAsia="nl-NL"/>
          <w14:ligatures w14:val="none"/>
        </w:rPr>
        <w:t xml:space="preserve">. DMFCO </w:t>
      </w:r>
      <w:r w:rsidR="00CD355C">
        <w:rPr>
          <w:rFonts w:eastAsia="Times New Roman" w:cstheme="minorHAnsi"/>
          <w:bCs/>
          <w:kern w:val="0"/>
          <w:sz w:val="24"/>
          <w:szCs w:val="24"/>
          <w:lang w:eastAsia="nl-NL"/>
          <w14:ligatures w14:val="none"/>
        </w:rPr>
        <w:t>A</w:t>
      </w:r>
      <w:r w:rsidR="009C2BA4">
        <w:rPr>
          <w:rFonts w:eastAsia="Times New Roman" w:cstheme="minorHAnsi"/>
          <w:bCs/>
          <w:kern w:val="0"/>
          <w:sz w:val="24"/>
          <w:szCs w:val="24"/>
          <w:lang w:eastAsia="nl-NL"/>
          <w14:ligatures w14:val="none"/>
        </w:rPr>
        <w:t xml:space="preserve">sset </w:t>
      </w:r>
      <w:r w:rsidR="00CD355C">
        <w:rPr>
          <w:rFonts w:eastAsia="Times New Roman" w:cstheme="minorHAnsi"/>
          <w:bCs/>
          <w:kern w:val="0"/>
          <w:sz w:val="24"/>
          <w:szCs w:val="24"/>
          <w:lang w:eastAsia="nl-NL"/>
          <w14:ligatures w14:val="none"/>
        </w:rPr>
        <w:t>M</w:t>
      </w:r>
      <w:r w:rsidR="009C2BA4">
        <w:rPr>
          <w:rFonts w:eastAsia="Times New Roman" w:cstheme="minorHAnsi"/>
          <w:bCs/>
          <w:kern w:val="0"/>
          <w:sz w:val="24"/>
          <w:szCs w:val="24"/>
          <w:lang w:eastAsia="nl-NL"/>
          <w14:ligatures w14:val="none"/>
        </w:rPr>
        <w:t xml:space="preserve">anagement beheert de hypotheekportefeuille van MUNT hypotheken. </w:t>
      </w:r>
      <w:r w:rsidR="00C80F83">
        <w:rPr>
          <w:rFonts w:eastAsia="Times New Roman" w:cstheme="minorHAnsi"/>
          <w:bCs/>
          <w:kern w:val="0"/>
          <w:sz w:val="24"/>
          <w:szCs w:val="24"/>
          <w:lang w:eastAsia="nl-NL"/>
          <w14:ligatures w14:val="none"/>
        </w:rPr>
        <w:t>MUNT hypotheken</w:t>
      </w:r>
      <w:r w:rsidR="009C2BA4">
        <w:rPr>
          <w:rFonts w:eastAsia="Times New Roman" w:cstheme="minorHAnsi"/>
          <w:bCs/>
          <w:kern w:val="0"/>
          <w:sz w:val="24"/>
          <w:szCs w:val="24"/>
          <w:lang w:eastAsia="nl-NL"/>
          <w14:ligatures w14:val="none"/>
        </w:rPr>
        <w:t xml:space="preserve"> </w:t>
      </w:r>
      <w:r w:rsidR="009C2BA4" w:rsidRPr="009C2BA4">
        <w:rPr>
          <w:rFonts w:eastAsia="Times New Roman" w:cstheme="minorHAnsi"/>
          <w:bCs/>
          <w:kern w:val="0"/>
          <w:sz w:val="24"/>
          <w:szCs w:val="24"/>
          <w:lang w:eastAsia="nl-NL"/>
          <w14:ligatures w14:val="none"/>
        </w:rPr>
        <w:t>verstrekt hypotheken</w:t>
      </w:r>
      <w:r w:rsidR="009C2BA4">
        <w:rPr>
          <w:rFonts w:eastAsia="Times New Roman" w:cstheme="minorHAnsi"/>
          <w:bCs/>
          <w:kern w:val="0"/>
          <w:sz w:val="24"/>
          <w:szCs w:val="24"/>
          <w:lang w:eastAsia="nl-NL"/>
          <w14:ligatures w14:val="none"/>
        </w:rPr>
        <w:t xml:space="preserve"> aan particulieren</w:t>
      </w:r>
      <w:r w:rsidR="009C2BA4" w:rsidRPr="009C2BA4">
        <w:rPr>
          <w:rFonts w:eastAsia="Times New Roman" w:cstheme="minorHAnsi"/>
          <w:bCs/>
          <w:kern w:val="0"/>
          <w:sz w:val="24"/>
          <w:szCs w:val="24"/>
          <w:lang w:eastAsia="nl-NL"/>
          <w14:ligatures w14:val="none"/>
        </w:rPr>
        <w:t xml:space="preserve"> namens beleggers </w:t>
      </w:r>
      <w:r w:rsidR="009C2BA4">
        <w:rPr>
          <w:rFonts w:eastAsia="Times New Roman" w:cstheme="minorHAnsi"/>
          <w:bCs/>
          <w:kern w:val="0"/>
          <w:sz w:val="24"/>
          <w:szCs w:val="24"/>
          <w:lang w:eastAsia="nl-NL"/>
          <w14:ligatures w14:val="none"/>
        </w:rPr>
        <w:t xml:space="preserve">zoals Pensioenfonds TNO, </w:t>
      </w:r>
      <w:r w:rsidR="009C2BA4" w:rsidRPr="009C2BA4">
        <w:rPr>
          <w:rFonts w:eastAsia="Times New Roman" w:cstheme="minorHAnsi"/>
          <w:bCs/>
          <w:kern w:val="0"/>
          <w:sz w:val="24"/>
          <w:szCs w:val="24"/>
          <w:lang w:eastAsia="nl-NL"/>
          <w14:ligatures w14:val="none"/>
        </w:rPr>
        <w:t xml:space="preserve">die het belangrijk vinden om bij te dragen aan een duurzamere wereld. </w:t>
      </w:r>
      <w:r w:rsidR="00E053B8" w:rsidRPr="009C2BA4">
        <w:rPr>
          <w:rFonts w:eastAsia="Times New Roman" w:cstheme="minorHAnsi"/>
          <w:bCs/>
          <w:kern w:val="0"/>
          <w:sz w:val="24"/>
          <w:szCs w:val="24"/>
          <w:lang w:eastAsia="nl-NL"/>
          <w14:ligatures w14:val="none"/>
        </w:rPr>
        <w:t>MUNT Hypotheken zet in op het reduceren van de CO</w:t>
      </w:r>
      <w:r w:rsidR="00E053B8" w:rsidRPr="009C2BA4">
        <w:rPr>
          <w:rFonts w:eastAsia="Times New Roman" w:cstheme="minorHAnsi"/>
          <w:bCs/>
          <w:kern w:val="0"/>
          <w:sz w:val="24"/>
          <w:szCs w:val="24"/>
          <w:vertAlign w:val="subscript"/>
          <w:lang w:eastAsia="nl-NL"/>
          <w14:ligatures w14:val="none"/>
        </w:rPr>
        <w:t>2</w:t>
      </w:r>
      <w:r w:rsidR="00E053B8" w:rsidRPr="009C2BA4">
        <w:rPr>
          <w:rFonts w:eastAsia="Times New Roman" w:cstheme="minorHAnsi"/>
          <w:bCs/>
          <w:kern w:val="0"/>
          <w:sz w:val="24"/>
          <w:szCs w:val="24"/>
          <w:lang w:eastAsia="nl-NL"/>
          <w14:ligatures w14:val="none"/>
        </w:rPr>
        <w:t xml:space="preserve">-uitstoot van de woningen in de portefeuille om zo in lijn te </w:t>
      </w:r>
      <w:r w:rsidR="007144E2">
        <w:rPr>
          <w:rFonts w:eastAsia="Times New Roman" w:cstheme="minorHAnsi"/>
          <w:bCs/>
          <w:kern w:val="0"/>
          <w:sz w:val="24"/>
          <w:szCs w:val="24"/>
          <w:lang w:eastAsia="nl-NL"/>
          <w14:ligatures w14:val="none"/>
        </w:rPr>
        <w:t>komen</w:t>
      </w:r>
      <w:r w:rsidR="00E053B8" w:rsidRPr="009C2BA4">
        <w:rPr>
          <w:rFonts w:eastAsia="Times New Roman" w:cstheme="minorHAnsi"/>
          <w:bCs/>
          <w:kern w:val="0"/>
          <w:sz w:val="24"/>
          <w:szCs w:val="24"/>
          <w:lang w:eastAsia="nl-NL"/>
          <w14:ligatures w14:val="none"/>
        </w:rPr>
        <w:t xml:space="preserve"> met het Klimaatakkoord</w:t>
      </w:r>
      <w:r w:rsidR="00E053B8">
        <w:rPr>
          <w:rFonts w:eastAsia="Times New Roman" w:cstheme="minorHAnsi"/>
          <w:bCs/>
          <w:kern w:val="0"/>
          <w:sz w:val="24"/>
          <w:szCs w:val="24"/>
          <w:lang w:eastAsia="nl-NL"/>
          <w14:ligatures w14:val="none"/>
        </w:rPr>
        <w:t xml:space="preserve"> van Parijs, dat Pensioenfonds TNO ook onderschrijft.</w:t>
      </w:r>
      <w:r w:rsidR="00C80F83">
        <w:rPr>
          <w:rFonts w:eastAsia="Times New Roman" w:cstheme="minorHAnsi"/>
          <w:bCs/>
          <w:kern w:val="0"/>
          <w:sz w:val="24"/>
          <w:szCs w:val="24"/>
          <w:lang w:eastAsia="nl-NL"/>
          <w14:ligatures w14:val="none"/>
        </w:rPr>
        <w:t xml:space="preserve"> </w:t>
      </w:r>
      <w:r w:rsidR="005C1FD6">
        <w:rPr>
          <w:rFonts w:eastAsia="Times New Roman" w:cstheme="minorHAnsi"/>
          <w:bCs/>
          <w:kern w:val="0"/>
          <w:sz w:val="24"/>
          <w:szCs w:val="24"/>
          <w:lang w:eastAsia="nl-NL"/>
          <w14:ligatures w14:val="none"/>
        </w:rPr>
        <w:t>De adviseurs die MUNT-hypotheken verstrekken</w:t>
      </w:r>
      <w:r w:rsidR="00C80F83">
        <w:rPr>
          <w:rFonts w:eastAsia="Times New Roman" w:cstheme="minorHAnsi"/>
          <w:bCs/>
          <w:kern w:val="0"/>
          <w:sz w:val="24"/>
          <w:szCs w:val="24"/>
          <w:lang w:eastAsia="nl-NL"/>
          <w14:ligatures w14:val="none"/>
        </w:rPr>
        <w:t>,</w:t>
      </w:r>
      <w:r w:rsidR="005C1FD6">
        <w:rPr>
          <w:rFonts w:eastAsia="Times New Roman" w:cstheme="minorHAnsi"/>
          <w:bCs/>
          <w:kern w:val="0"/>
          <w:sz w:val="24"/>
          <w:szCs w:val="24"/>
          <w:lang w:eastAsia="nl-NL"/>
          <w14:ligatures w14:val="none"/>
        </w:rPr>
        <w:t xml:space="preserve"> </w:t>
      </w:r>
      <w:r w:rsidR="005C1FD6" w:rsidRPr="005C1FD6">
        <w:rPr>
          <w:rFonts w:eastAsia="Times New Roman" w:cstheme="minorHAnsi"/>
          <w:bCs/>
          <w:kern w:val="0"/>
          <w:sz w:val="24"/>
          <w:szCs w:val="24"/>
          <w:lang w:eastAsia="nl-NL"/>
          <w14:ligatures w14:val="none"/>
        </w:rPr>
        <w:t xml:space="preserve">bespreken </w:t>
      </w:r>
      <w:r w:rsidR="005C1FD6">
        <w:rPr>
          <w:rFonts w:eastAsia="Times New Roman" w:cstheme="minorHAnsi"/>
          <w:bCs/>
          <w:kern w:val="0"/>
          <w:sz w:val="24"/>
          <w:szCs w:val="24"/>
          <w:lang w:eastAsia="nl-NL"/>
          <w14:ligatures w14:val="none"/>
        </w:rPr>
        <w:t xml:space="preserve">actief met klanten </w:t>
      </w:r>
      <w:r w:rsidR="005C1FD6" w:rsidRPr="005C1FD6">
        <w:rPr>
          <w:rFonts w:eastAsia="Times New Roman" w:cstheme="minorHAnsi"/>
          <w:bCs/>
          <w:kern w:val="0"/>
          <w:sz w:val="24"/>
          <w:szCs w:val="24"/>
          <w:lang w:eastAsia="nl-NL"/>
          <w14:ligatures w14:val="none"/>
        </w:rPr>
        <w:t xml:space="preserve">over verduurzaming </w:t>
      </w:r>
      <w:r w:rsidR="005C1FD6">
        <w:rPr>
          <w:rFonts w:eastAsia="Times New Roman" w:cstheme="minorHAnsi"/>
          <w:bCs/>
          <w:kern w:val="0"/>
          <w:sz w:val="24"/>
          <w:szCs w:val="24"/>
          <w:lang w:eastAsia="nl-NL"/>
          <w14:ligatures w14:val="none"/>
        </w:rPr>
        <w:t>van hun (toekomstige) woning en realiseren daarmee een verlaging van de CO</w:t>
      </w:r>
      <w:r w:rsidR="005C1FD6" w:rsidRPr="005C1FD6">
        <w:rPr>
          <w:rFonts w:eastAsia="Times New Roman" w:cstheme="minorHAnsi"/>
          <w:bCs/>
          <w:kern w:val="0"/>
          <w:sz w:val="24"/>
          <w:szCs w:val="24"/>
          <w:vertAlign w:val="subscript"/>
          <w:lang w:eastAsia="nl-NL"/>
          <w14:ligatures w14:val="none"/>
        </w:rPr>
        <w:t>2</w:t>
      </w:r>
      <w:r w:rsidR="005C1FD6">
        <w:rPr>
          <w:rFonts w:eastAsia="Times New Roman" w:cstheme="minorHAnsi"/>
          <w:bCs/>
          <w:kern w:val="0"/>
          <w:sz w:val="24"/>
          <w:szCs w:val="24"/>
          <w:lang w:eastAsia="nl-NL"/>
          <w14:ligatures w14:val="none"/>
        </w:rPr>
        <w:t xml:space="preserve">. </w:t>
      </w:r>
    </w:p>
    <w:p w14:paraId="715B9D22" w14:textId="3E20E517" w:rsidR="005C1FD6" w:rsidRDefault="005C1FD6" w:rsidP="00C23926">
      <w:pPr>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In de grafiek is te zien dat sinds de start in 2019 er een gemiddelde reductie van </w:t>
      </w:r>
      <w:r w:rsidR="00CD355C">
        <w:rPr>
          <w:rFonts w:eastAsia="Times New Roman" w:cstheme="minorHAnsi"/>
          <w:bCs/>
          <w:kern w:val="0"/>
          <w:sz w:val="24"/>
          <w:szCs w:val="24"/>
          <w:lang w:eastAsia="nl-NL"/>
          <w14:ligatures w14:val="none"/>
        </w:rPr>
        <w:t>8,9</w:t>
      </w:r>
      <w:r>
        <w:rPr>
          <w:rFonts w:eastAsia="Times New Roman" w:cstheme="minorHAnsi"/>
          <w:bCs/>
          <w:kern w:val="0"/>
          <w:sz w:val="24"/>
          <w:szCs w:val="24"/>
          <w:lang w:eastAsia="nl-NL"/>
          <w14:ligatures w14:val="none"/>
        </w:rPr>
        <w:t xml:space="preserve">% </w:t>
      </w:r>
      <w:r w:rsidR="00C80F83">
        <w:rPr>
          <w:rFonts w:eastAsia="Times New Roman" w:cstheme="minorHAnsi"/>
          <w:bCs/>
          <w:kern w:val="0"/>
          <w:sz w:val="24"/>
          <w:szCs w:val="24"/>
          <w:lang w:eastAsia="nl-NL"/>
          <w14:ligatures w14:val="none"/>
        </w:rPr>
        <w:t xml:space="preserve">is </w:t>
      </w:r>
      <w:r>
        <w:rPr>
          <w:rFonts w:eastAsia="Times New Roman" w:cstheme="minorHAnsi"/>
          <w:bCs/>
          <w:kern w:val="0"/>
          <w:sz w:val="24"/>
          <w:szCs w:val="24"/>
          <w:lang w:eastAsia="nl-NL"/>
          <w14:ligatures w14:val="none"/>
        </w:rPr>
        <w:t xml:space="preserve">bewerkstelligd (zwarte lijn), verdeeld over de verschillende energie-labels die een woning kan hebben. De meeste reductie </w:t>
      </w:r>
      <w:r w:rsidR="00FB3480">
        <w:rPr>
          <w:rFonts w:eastAsia="Times New Roman" w:cstheme="minorHAnsi"/>
          <w:bCs/>
          <w:kern w:val="0"/>
          <w:sz w:val="24"/>
          <w:szCs w:val="24"/>
          <w:lang w:eastAsia="nl-NL"/>
          <w14:ligatures w14:val="none"/>
        </w:rPr>
        <w:t>in CO</w:t>
      </w:r>
      <w:r w:rsidR="00FB3480" w:rsidRPr="005C1FD6">
        <w:rPr>
          <w:rFonts w:eastAsia="Times New Roman" w:cstheme="minorHAnsi"/>
          <w:bCs/>
          <w:kern w:val="0"/>
          <w:sz w:val="24"/>
          <w:szCs w:val="24"/>
          <w:vertAlign w:val="subscript"/>
          <w:lang w:eastAsia="nl-NL"/>
          <w14:ligatures w14:val="none"/>
        </w:rPr>
        <w:t>2</w:t>
      </w:r>
      <w:r w:rsidR="00FB3480">
        <w:rPr>
          <w:rFonts w:eastAsia="Times New Roman" w:cstheme="minorHAnsi"/>
          <w:bCs/>
          <w:kern w:val="0"/>
          <w:sz w:val="24"/>
          <w:szCs w:val="24"/>
          <w:lang w:eastAsia="nl-NL"/>
          <w14:ligatures w14:val="none"/>
        </w:rPr>
        <w:t xml:space="preserve"> </w:t>
      </w:r>
      <w:r w:rsidR="00F231F0">
        <w:rPr>
          <w:rFonts w:eastAsia="Times New Roman" w:cstheme="minorHAnsi"/>
          <w:bCs/>
          <w:kern w:val="0"/>
          <w:sz w:val="24"/>
          <w:szCs w:val="24"/>
          <w:lang w:eastAsia="nl-NL"/>
          <w14:ligatures w14:val="none"/>
        </w:rPr>
        <w:t xml:space="preserve">in absolute zin </w:t>
      </w:r>
      <w:r>
        <w:rPr>
          <w:rFonts w:eastAsia="Times New Roman" w:cstheme="minorHAnsi"/>
          <w:bCs/>
          <w:kern w:val="0"/>
          <w:sz w:val="24"/>
          <w:szCs w:val="24"/>
          <w:lang w:eastAsia="nl-NL"/>
          <w14:ligatures w14:val="none"/>
        </w:rPr>
        <w:t xml:space="preserve">vond plaats in huizen met energie-label </w:t>
      </w:r>
      <w:r w:rsidR="00FB3480">
        <w:rPr>
          <w:rFonts w:eastAsia="Times New Roman" w:cstheme="minorHAnsi"/>
          <w:bCs/>
          <w:kern w:val="0"/>
          <w:sz w:val="24"/>
          <w:szCs w:val="24"/>
          <w:lang w:eastAsia="nl-NL"/>
          <w14:ligatures w14:val="none"/>
        </w:rPr>
        <w:t>C (17% van de portefeuille)</w:t>
      </w:r>
      <w:r>
        <w:rPr>
          <w:rFonts w:eastAsia="Times New Roman" w:cstheme="minorHAnsi"/>
          <w:bCs/>
          <w:kern w:val="0"/>
          <w:sz w:val="24"/>
          <w:szCs w:val="24"/>
          <w:lang w:eastAsia="nl-NL"/>
          <w14:ligatures w14:val="none"/>
        </w:rPr>
        <w:t xml:space="preserve">, het minste bij woningen in de </w:t>
      </w:r>
      <w:r w:rsidR="00FB3480">
        <w:rPr>
          <w:rFonts w:eastAsia="Times New Roman" w:cstheme="minorHAnsi"/>
          <w:bCs/>
          <w:kern w:val="0"/>
          <w:sz w:val="24"/>
          <w:szCs w:val="24"/>
          <w:lang w:eastAsia="nl-NL"/>
          <w14:ligatures w14:val="none"/>
        </w:rPr>
        <w:t>hoogste A+++ en A++ woningen (wat op zich logisch is</w:t>
      </w:r>
      <w:r w:rsidR="00CD355C">
        <w:rPr>
          <w:rFonts w:eastAsia="Times New Roman" w:cstheme="minorHAnsi"/>
          <w:bCs/>
          <w:kern w:val="0"/>
          <w:sz w:val="24"/>
          <w:szCs w:val="24"/>
          <w:lang w:eastAsia="nl-NL"/>
          <w14:ligatures w14:val="none"/>
        </w:rPr>
        <w:t>).</w:t>
      </w:r>
      <w:r>
        <w:rPr>
          <w:rFonts w:eastAsia="Times New Roman" w:cstheme="minorHAnsi"/>
          <w:bCs/>
          <w:kern w:val="0"/>
          <w:sz w:val="24"/>
          <w:szCs w:val="24"/>
          <w:lang w:eastAsia="nl-NL"/>
          <w14:ligatures w14:val="none"/>
        </w:rPr>
        <w:t xml:space="preserve"> In de </w:t>
      </w:r>
      <w:r w:rsidR="00F231F0">
        <w:rPr>
          <w:rFonts w:eastAsia="Times New Roman" w:cstheme="minorHAnsi"/>
          <w:bCs/>
          <w:kern w:val="0"/>
          <w:sz w:val="24"/>
          <w:szCs w:val="24"/>
          <w:lang w:eastAsia="nl-NL"/>
          <w14:ligatures w14:val="none"/>
        </w:rPr>
        <w:t>MUNT hypotheek</w:t>
      </w:r>
      <w:r>
        <w:rPr>
          <w:rFonts w:eastAsia="Times New Roman" w:cstheme="minorHAnsi"/>
          <w:bCs/>
          <w:kern w:val="0"/>
          <w:sz w:val="24"/>
          <w:szCs w:val="24"/>
          <w:lang w:eastAsia="nl-NL"/>
          <w14:ligatures w14:val="none"/>
        </w:rPr>
        <w:t xml:space="preserve">portefeuille heeft </w:t>
      </w:r>
      <w:r w:rsidR="00FB3480">
        <w:rPr>
          <w:rFonts w:eastAsia="Times New Roman" w:cstheme="minorHAnsi"/>
          <w:bCs/>
          <w:kern w:val="0"/>
          <w:sz w:val="24"/>
          <w:szCs w:val="24"/>
          <w:lang w:eastAsia="nl-NL"/>
          <w14:ligatures w14:val="none"/>
        </w:rPr>
        <w:t xml:space="preserve">bijna een derde </w:t>
      </w:r>
      <w:r>
        <w:rPr>
          <w:rFonts w:eastAsia="Times New Roman" w:cstheme="minorHAnsi"/>
          <w:bCs/>
          <w:kern w:val="0"/>
          <w:sz w:val="24"/>
          <w:szCs w:val="24"/>
          <w:lang w:eastAsia="nl-NL"/>
          <w14:ligatures w14:val="none"/>
        </w:rPr>
        <w:t>van de woningen een energielabel A of hoger.</w:t>
      </w:r>
    </w:p>
    <w:p w14:paraId="5B3F1843" w14:textId="1856C5F6" w:rsidR="00E053B8" w:rsidRDefault="00CD355C" w:rsidP="00CD355C">
      <w:pPr>
        <w:jc w:val="center"/>
        <w:rPr>
          <w:rFonts w:eastAsia="Times New Roman" w:cstheme="minorHAnsi"/>
          <w:bCs/>
          <w:kern w:val="0"/>
          <w:sz w:val="24"/>
          <w:szCs w:val="24"/>
          <w:lang w:eastAsia="nl-NL"/>
          <w14:ligatures w14:val="none"/>
        </w:rPr>
      </w:pPr>
      <w:r w:rsidRPr="00CD355C">
        <w:rPr>
          <w:rFonts w:eastAsia="Times New Roman" w:cstheme="minorHAnsi"/>
          <w:bCs/>
          <w:noProof/>
          <w:kern w:val="0"/>
          <w:sz w:val="24"/>
          <w:szCs w:val="24"/>
          <w:lang w:eastAsia="nl-NL"/>
          <w14:ligatures w14:val="none"/>
        </w:rPr>
        <w:drawing>
          <wp:inline distT="0" distB="0" distL="0" distR="0" wp14:anchorId="53F53446" wp14:editId="209D32EA">
            <wp:extent cx="4777946" cy="2629181"/>
            <wp:effectExtent l="0" t="0" r="3810" b="0"/>
            <wp:docPr id="826798037"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98037" name="Picture 1" descr="A graph of a number of people&#10;&#10;AI-generated content may be incorrect."/>
                    <pic:cNvPicPr/>
                  </pic:nvPicPr>
                  <pic:blipFill>
                    <a:blip r:embed="rId18"/>
                    <a:stretch>
                      <a:fillRect/>
                    </a:stretch>
                  </pic:blipFill>
                  <pic:spPr>
                    <a:xfrm>
                      <a:off x="0" y="0"/>
                      <a:ext cx="4792346" cy="2637105"/>
                    </a:xfrm>
                    <a:prstGeom prst="rect">
                      <a:avLst/>
                    </a:prstGeom>
                  </pic:spPr>
                </pic:pic>
              </a:graphicData>
            </a:graphic>
          </wp:inline>
        </w:drawing>
      </w:r>
    </w:p>
    <w:p w14:paraId="566C6653" w14:textId="77777777" w:rsidR="00DC23B6" w:rsidRPr="00DC23B6" w:rsidRDefault="00DC23B6" w:rsidP="00C23926">
      <w:pPr>
        <w:rPr>
          <w:rFonts w:eastAsia="Times New Roman" w:cstheme="minorHAnsi"/>
          <w:b/>
          <w:kern w:val="0"/>
          <w:sz w:val="28"/>
          <w:szCs w:val="28"/>
          <w:u w:val="single"/>
          <w:lang w:eastAsia="nl-NL"/>
          <w14:ligatures w14:val="none"/>
        </w:rPr>
      </w:pPr>
    </w:p>
    <w:p w14:paraId="73A14817" w14:textId="77777777" w:rsidR="00DC23B6" w:rsidRDefault="00DC23B6" w:rsidP="00C23926">
      <w:pPr>
        <w:rPr>
          <w:rFonts w:ascii="Times New Roman" w:eastAsia="Times New Roman" w:hAnsi="Times New Roman" w:cs="Times New Roman"/>
          <w:b/>
          <w:bCs/>
          <w:kern w:val="0"/>
          <w:sz w:val="28"/>
          <w:szCs w:val="28"/>
          <w:u w:val="single"/>
          <w:lang w:eastAsia="nl-NL"/>
          <w14:ligatures w14:val="none"/>
        </w:rPr>
      </w:pPr>
    </w:p>
    <w:p w14:paraId="3CBE0989" w14:textId="77777777" w:rsidR="00DC23B6" w:rsidRDefault="00DC23B6" w:rsidP="00C23926">
      <w:pPr>
        <w:rPr>
          <w:rFonts w:ascii="Times New Roman" w:eastAsia="Times New Roman" w:hAnsi="Times New Roman" w:cs="Times New Roman"/>
          <w:b/>
          <w:bCs/>
          <w:kern w:val="0"/>
          <w:sz w:val="28"/>
          <w:szCs w:val="28"/>
          <w:u w:val="single"/>
          <w:lang w:eastAsia="nl-NL"/>
          <w14:ligatures w14:val="none"/>
        </w:rPr>
      </w:pPr>
    </w:p>
    <w:p w14:paraId="1CDE1EDE" w14:textId="77777777" w:rsidR="00DC23B6" w:rsidRDefault="00DC23B6" w:rsidP="00C23926">
      <w:pPr>
        <w:rPr>
          <w:rFonts w:ascii="Times New Roman" w:eastAsia="Times New Roman" w:hAnsi="Times New Roman" w:cs="Times New Roman"/>
          <w:b/>
          <w:bCs/>
          <w:kern w:val="0"/>
          <w:sz w:val="28"/>
          <w:szCs w:val="28"/>
          <w:u w:val="single"/>
          <w:lang w:eastAsia="nl-NL"/>
          <w14:ligatures w14:val="none"/>
        </w:rPr>
      </w:pPr>
    </w:p>
    <w:p w14:paraId="58146CCB" w14:textId="77777777" w:rsidR="00DC23B6" w:rsidRDefault="00DC23B6" w:rsidP="00C23926">
      <w:pPr>
        <w:rPr>
          <w:rFonts w:ascii="Times New Roman" w:eastAsia="Times New Roman" w:hAnsi="Times New Roman" w:cs="Times New Roman"/>
          <w:b/>
          <w:bCs/>
          <w:kern w:val="0"/>
          <w:sz w:val="28"/>
          <w:szCs w:val="28"/>
          <w:u w:val="single"/>
          <w:lang w:eastAsia="nl-NL"/>
          <w14:ligatures w14:val="none"/>
        </w:rPr>
      </w:pPr>
    </w:p>
    <w:p w14:paraId="73CB2A49" w14:textId="77777777" w:rsidR="005C1FD6" w:rsidRDefault="005C1FD6" w:rsidP="00C23926">
      <w:pPr>
        <w:rPr>
          <w:rFonts w:ascii="Times New Roman" w:eastAsia="Times New Roman" w:hAnsi="Times New Roman" w:cs="Times New Roman"/>
          <w:b/>
          <w:bCs/>
          <w:kern w:val="0"/>
          <w:sz w:val="28"/>
          <w:szCs w:val="28"/>
          <w:u w:val="single"/>
          <w:lang w:eastAsia="nl-NL"/>
          <w14:ligatures w14:val="none"/>
        </w:rPr>
      </w:pPr>
    </w:p>
    <w:p w14:paraId="6A099522" w14:textId="512966CB" w:rsidR="00C23926" w:rsidRPr="004C2EDD" w:rsidRDefault="007F0B22" w:rsidP="00C23926">
      <w:pPr>
        <w:rPr>
          <w:rFonts w:eastAsia="Times New Roman" w:cstheme="minorHAnsi"/>
          <w:b/>
          <w:bCs/>
          <w:kern w:val="0"/>
          <w:sz w:val="28"/>
          <w:szCs w:val="28"/>
          <w:u w:val="single"/>
          <w:lang w:eastAsia="nl-NL"/>
          <w14:ligatures w14:val="none"/>
        </w:rPr>
      </w:pPr>
      <w:r>
        <w:rPr>
          <w:rFonts w:eastAsia="Times New Roman" w:cstheme="minorHAnsi"/>
          <w:b/>
          <w:kern w:val="0"/>
          <w:sz w:val="28"/>
          <w:szCs w:val="28"/>
          <w:u w:val="single"/>
          <w:lang w:eastAsia="nl-NL"/>
          <w14:ligatures w14:val="none"/>
        </w:rPr>
        <w:t>S</w:t>
      </w:r>
      <w:r w:rsidR="00C23926" w:rsidRPr="00BA223B">
        <w:rPr>
          <w:rFonts w:eastAsia="Times New Roman" w:cstheme="minorHAnsi"/>
          <w:b/>
          <w:kern w:val="0"/>
          <w:sz w:val="28"/>
          <w:szCs w:val="28"/>
          <w:u w:val="single"/>
          <w:lang w:eastAsia="nl-NL"/>
          <w14:ligatures w14:val="none"/>
        </w:rPr>
        <w:t>tem</w:t>
      </w:r>
      <w:r w:rsidR="004C2EDD">
        <w:rPr>
          <w:rFonts w:eastAsia="Times New Roman" w:cstheme="minorHAnsi"/>
          <w:b/>
          <w:kern w:val="0"/>
          <w:sz w:val="28"/>
          <w:szCs w:val="28"/>
          <w:u w:val="single"/>
          <w:lang w:eastAsia="nl-NL"/>
          <w14:ligatures w14:val="none"/>
        </w:rPr>
        <w:t>- en engagement</w:t>
      </w:r>
      <w:r w:rsidR="00E87750">
        <w:rPr>
          <w:rFonts w:eastAsia="Times New Roman" w:cstheme="minorHAnsi"/>
          <w:b/>
          <w:kern w:val="0"/>
          <w:sz w:val="28"/>
          <w:szCs w:val="28"/>
          <w:u w:val="single"/>
          <w:lang w:eastAsia="nl-NL"/>
          <w14:ligatures w14:val="none"/>
        </w:rPr>
        <w:t>beleid</w:t>
      </w:r>
      <w:r w:rsidR="00C23926" w:rsidRPr="00BA223B">
        <w:rPr>
          <w:rFonts w:eastAsia="Times New Roman" w:cstheme="minorHAnsi"/>
          <w:b/>
          <w:kern w:val="0"/>
          <w:sz w:val="28"/>
          <w:szCs w:val="28"/>
          <w:u w:val="single"/>
          <w:lang w:eastAsia="nl-NL"/>
          <w14:ligatures w14:val="none"/>
        </w:rPr>
        <w:t xml:space="preserve"> </w:t>
      </w:r>
      <w:r w:rsidR="00C23926" w:rsidRPr="004C2EDD">
        <w:rPr>
          <w:rFonts w:eastAsia="Times New Roman" w:cstheme="minorHAnsi"/>
          <w:b/>
          <w:kern w:val="0"/>
          <w:sz w:val="28"/>
          <w:szCs w:val="28"/>
          <w:u w:val="single"/>
          <w:lang w:eastAsia="nl-NL"/>
          <w14:ligatures w14:val="none"/>
        </w:rPr>
        <w:t xml:space="preserve">Paris Aligned Benchmark (PAB) aandelenfonds – </w:t>
      </w:r>
      <w:r w:rsidR="004E415A">
        <w:rPr>
          <w:rFonts w:eastAsia="Times New Roman" w:cstheme="minorHAnsi"/>
          <w:b/>
          <w:kern w:val="0"/>
          <w:sz w:val="28"/>
          <w:szCs w:val="28"/>
          <w:u w:val="single"/>
          <w:lang w:eastAsia="nl-NL"/>
          <w14:ligatures w14:val="none"/>
        </w:rPr>
        <w:t>Q4</w:t>
      </w:r>
      <w:r w:rsidR="00C23926" w:rsidRPr="004C2EDD">
        <w:rPr>
          <w:rFonts w:eastAsia="Times New Roman" w:cstheme="minorHAnsi"/>
          <w:b/>
          <w:kern w:val="0"/>
          <w:sz w:val="28"/>
          <w:szCs w:val="28"/>
          <w:u w:val="single"/>
          <w:lang w:eastAsia="nl-NL"/>
          <w14:ligatures w14:val="none"/>
        </w:rPr>
        <w:t xml:space="preserve"> 2025</w:t>
      </w:r>
    </w:p>
    <w:p w14:paraId="1E39605E" w14:textId="651103D1" w:rsidR="00C23926" w:rsidRPr="00BA223B" w:rsidRDefault="00523D66" w:rsidP="00C23926">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Behalve dat het </w:t>
      </w:r>
      <w:r w:rsidR="00AB6AE9">
        <w:rPr>
          <w:rFonts w:eastAsia="Times New Roman" w:cstheme="minorHAnsi"/>
          <w:bCs/>
          <w:kern w:val="0"/>
          <w:sz w:val="24"/>
          <w:szCs w:val="24"/>
          <w:lang w:eastAsia="nl-NL"/>
          <w14:ligatures w14:val="none"/>
        </w:rPr>
        <w:t>aandelen</w:t>
      </w:r>
      <w:r>
        <w:rPr>
          <w:rFonts w:eastAsia="Times New Roman" w:cstheme="minorHAnsi"/>
          <w:bCs/>
          <w:kern w:val="0"/>
          <w:sz w:val="24"/>
          <w:szCs w:val="24"/>
          <w:lang w:eastAsia="nl-NL"/>
          <w14:ligatures w14:val="none"/>
        </w:rPr>
        <w:t xml:space="preserve">fonds rekening houdt met een reductie van de </w:t>
      </w:r>
      <w:r w:rsidRPr="00764CE9">
        <w:rPr>
          <w:rFonts w:eastAsia="Times New Roman" w:cstheme="minorHAnsi"/>
          <w:bCs/>
          <w:kern w:val="0"/>
          <w:sz w:val="24"/>
          <w:szCs w:val="24"/>
          <w:lang w:eastAsia="nl-NL"/>
          <w14:ligatures w14:val="none"/>
        </w:rPr>
        <w:t>CO</w:t>
      </w:r>
      <w:r w:rsidRPr="00764CE9">
        <w:rPr>
          <w:rFonts w:eastAsia="Times New Roman" w:cstheme="minorHAnsi"/>
          <w:bCs/>
          <w:kern w:val="0"/>
          <w:sz w:val="24"/>
          <w:szCs w:val="24"/>
          <w:vertAlign w:val="subscript"/>
          <w:lang w:eastAsia="nl-NL"/>
          <w14:ligatures w14:val="none"/>
        </w:rPr>
        <w:t>2</w:t>
      </w:r>
      <w:r w:rsidRPr="00764CE9">
        <w:rPr>
          <w:rFonts w:eastAsia="Times New Roman" w:cstheme="minorHAnsi"/>
          <w:bCs/>
          <w:kern w:val="0"/>
          <w:sz w:val="24"/>
          <w:szCs w:val="24"/>
          <w:lang w:eastAsia="nl-NL"/>
          <w14:ligatures w14:val="none"/>
        </w:rPr>
        <w:t>-uitstoot</w:t>
      </w:r>
      <w:r>
        <w:rPr>
          <w:rFonts w:eastAsia="Times New Roman" w:cstheme="minorHAnsi"/>
          <w:bCs/>
          <w:kern w:val="0"/>
          <w:sz w:val="24"/>
          <w:szCs w:val="24"/>
          <w:lang w:eastAsia="nl-NL"/>
          <w14:ligatures w14:val="none"/>
        </w:rPr>
        <w:t>, hebben we ook de mogelijkheid om invloed uit te oefenen op het beleid van bedrijven door te stemmen op aandeelhoudersvergaderingen.</w:t>
      </w:r>
    </w:p>
    <w:p w14:paraId="1A32AAAD" w14:textId="77777777" w:rsidR="00C23926" w:rsidRPr="00BA223B" w:rsidRDefault="00C23926" w:rsidP="00C23926">
      <w:pPr>
        <w:spacing w:after="0" w:line="240" w:lineRule="auto"/>
        <w:rPr>
          <w:rFonts w:eastAsia="Times New Roman" w:cstheme="minorHAnsi"/>
          <w:bCs/>
          <w:kern w:val="0"/>
          <w:sz w:val="24"/>
          <w:szCs w:val="24"/>
          <w:lang w:eastAsia="nl-NL"/>
          <w14:ligatures w14:val="none"/>
        </w:rPr>
      </w:pPr>
    </w:p>
    <w:p w14:paraId="5C6B0787" w14:textId="77777777" w:rsidR="00AA7AE2" w:rsidRDefault="00C23926" w:rsidP="00C23926">
      <w:pPr>
        <w:spacing w:after="0" w:line="240" w:lineRule="auto"/>
        <w:rPr>
          <w:rFonts w:eastAsia="Times New Roman" w:cstheme="minorHAnsi"/>
          <w:bCs/>
          <w:kern w:val="0"/>
          <w:sz w:val="24"/>
          <w:szCs w:val="24"/>
          <w:lang w:eastAsia="nl-NL"/>
          <w14:ligatures w14:val="none"/>
        </w:rPr>
      </w:pPr>
      <w:r w:rsidRPr="00BA223B">
        <w:rPr>
          <w:rFonts w:eastAsia="Times New Roman" w:cstheme="minorHAnsi"/>
          <w:bCs/>
          <w:kern w:val="0"/>
          <w:sz w:val="24"/>
          <w:szCs w:val="24"/>
          <w:lang w:eastAsia="nl-NL"/>
          <w14:ligatures w14:val="none"/>
        </w:rPr>
        <w:t xml:space="preserve">Voor wat betreft het stemgedrag van </w:t>
      </w:r>
      <w:r w:rsidR="00523D66">
        <w:rPr>
          <w:rFonts w:eastAsia="Times New Roman" w:cstheme="minorHAnsi"/>
          <w:bCs/>
          <w:kern w:val="0"/>
          <w:sz w:val="24"/>
          <w:szCs w:val="24"/>
          <w:lang w:eastAsia="nl-NL"/>
          <w14:ligatures w14:val="none"/>
        </w:rPr>
        <w:t>ons</w:t>
      </w:r>
      <w:r w:rsidRPr="00BA223B">
        <w:rPr>
          <w:rFonts w:eastAsia="Times New Roman" w:cstheme="minorHAnsi"/>
          <w:bCs/>
          <w:kern w:val="0"/>
          <w:sz w:val="24"/>
          <w:szCs w:val="24"/>
          <w:lang w:eastAsia="nl-NL"/>
          <w14:ligatures w14:val="none"/>
        </w:rPr>
        <w:t xml:space="preserve"> pensioenfonds is aansluiting gezocht bij de duurzaamheidsthema’s die het pensioenfonds belangrijk vindt. Dit resulteerde erin dat de fondsmanager, namens het pensioenfonds, is gevraagd te stemmen overeenkomstig het SRI-beleid van ISS </w:t>
      </w:r>
      <w:r w:rsidRPr="00E87750">
        <w:rPr>
          <w:rFonts w:eastAsia="Times New Roman" w:cstheme="minorHAnsi"/>
          <w:bCs/>
          <w:kern w:val="0"/>
          <w:sz w:val="18"/>
          <w:szCs w:val="18"/>
          <w:lang w:eastAsia="nl-NL"/>
          <w14:ligatures w14:val="none"/>
        </w:rPr>
        <w:t>(</w:t>
      </w:r>
      <w:hyperlink r:id="rId19" w:history="1">
        <w:r w:rsidRPr="00E87750">
          <w:rPr>
            <w:rStyle w:val="Hyperlink"/>
            <w:rFonts w:eastAsia="Times New Roman" w:cstheme="minorHAnsi"/>
            <w:bCs/>
            <w:kern w:val="0"/>
            <w:sz w:val="18"/>
            <w:szCs w:val="18"/>
            <w:lang w:eastAsia="nl-NL"/>
            <w14:ligatures w14:val="none"/>
          </w:rPr>
          <w:t>https://www.issgovernance.com/file/policy/active/specialty/SRI-International-Voting-Guidelines.pdf?v=1</w:t>
        </w:r>
      </w:hyperlink>
      <w:r w:rsidRPr="00E87750">
        <w:rPr>
          <w:rFonts w:eastAsia="Times New Roman" w:cstheme="minorHAnsi"/>
          <w:bCs/>
          <w:kern w:val="0"/>
          <w:sz w:val="18"/>
          <w:szCs w:val="18"/>
          <w:lang w:eastAsia="nl-NL"/>
          <w14:ligatures w14:val="none"/>
        </w:rPr>
        <w:t>)</w:t>
      </w:r>
      <w:r w:rsidR="00523D66">
        <w:rPr>
          <w:rFonts w:eastAsia="Times New Roman" w:cstheme="minorHAnsi"/>
          <w:bCs/>
          <w:kern w:val="0"/>
          <w:sz w:val="18"/>
          <w:szCs w:val="18"/>
          <w:lang w:eastAsia="nl-NL"/>
          <w14:ligatures w14:val="none"/>
        </w:rPr>
        <w:t xml:space="preserve">. </w:t>
      </w:r>
      <w:r w:rsidR="00523D66">
        <w:rPr>
          <w:rFonts w:eastAsia="Times New Roman" w:cstheme="minorHAnsi"/>
          <w:bCs/>
          <w:kern w:val="0"/>
          <w:sz w:val="24"/>
          <w:szCs w:val="24"/>
          <w:lang w:eastAsia="nl-NL"/>
          <w14:ligatures w14:val="none"/>
        </w:rPr>
        <w:t xml:space="preserve">Naast </w:t>
      </w:r>
      <w:r w:rsidRPr="00BA223B">
        <w:rPr>
          <w:rFonts w:eastAsia="Times New Roman" w:cstheme="minorHAnsi"/>
          <w:bCs/>
          <w:kern w:val="0"/>
          <w:sz w:val="24"/>
          <w:szCs w:val="24"/>
          <w:lang w:eastAsia="nl-NL"/>
          <w14:ligatures w14:val="none"/>
        </w:rPr>
        <w:t>een brede focus op klimaat</w:t>
      </w:r>
      <w:r w:rsidR="00523D66">
        <w:rPr>
          <w:rFonts w:eastAsia="Times New Roman" w:cstheme="minorHAnsi"/>
          <w:bCs/>
          <w:kern w:val="0"/>
          <w:sz w:val="24"/>
          <w:szCs w:val="24"/>
          <w:lang w:eastAsia="nl-NL"/>
          <w14:ligatures w14:val="none"/>
        </w:rPr>
        <w:t xml:space="preserve"> is er </w:t>
      </w:r>
      <w:r w:rsidRPr="00BA223B">
        <w:rPr>
          <w:rFonts w:eastAsia="Times New Roman" w:cstheme="minorHAnsi"/>
          <w:bCs/>
          <w:kern w:val="0"/>
          <w:sz w:val="24"/>
          <w:szCs w:val="24"/>
          <w:lang w:eastAsia="nl-NL"/>
          <w14:ligatures w14:val="none"/>
        </w:rPr>
        <w:t xml:space="preserve">daarnaast ook veel aandacht voor sociale en </w:t>
      </w:r>
      <w:proofErr w:type="spellStart"/>
      <w:r w:rsidRPr="00BA223B">
        <w:rPr>
          <w:rFonts w:eastAsia="Times New Roman" w:cstheme="minorHAnsi"/>
          <w:bCs/>
          <w:kern w:val="0"/>
          <w:sz w:val="24"/>
          <w:szCs w:val="24"/>
          <w:lang w:eastAsia="nl-NL"/>
          <w14:ligatures w14:val="none"/>
        </w:rPr>
        <w:t>governance</w:t>
      </w:r>
      <w:proofErr w:type="spellEnd"/>
      <w:r w:rsidRPr="00BA223B">
        <w:rPr>
          <w:rFonts w:eastAsia="Times New Roman" w:cstheme="minorHAnsi"/>
          <w:bCs/>
          <w:kern w:val="0"/>
          <w:sz w:val="24"/>
          <w:szCs w:val="24"/>
          <w:lang w:eastAsia="nl-NL"/>
          <w14:ligatures w14:val="none"/>
        </w:rPr>
        <w:t xml:space="preserve"> vraagstukken</w:t>
      </w:r>
      <w:r w:rsidR="00AA7AE2">
        <w:rPr>
          <w:rFonts w:eastAsia="Times New Roman" w:cstheme="minorHAnsi"/>
          <w:bCs/>
          <w:kern w:val="0"/>
          <w:sz w:val="24"/>
          <w:szCs w:val="24"/>
          <w:lang w:eastAsia="nl-NL"/>
          <w14:ligatures w14:val="none"/>
        </w:rPr>
        <w:t xml:space="preserve"> zoals het benoemen van bestuursleden</w:t>
      </w:r>
      <w:r w:rsidRPr="00BA223B">
        <w:rPr>
          <w:rFonts w:eastAsia="Times New Roman" w:cstheme="minorHAnsi"/>
          <w:bCs/>
          <w:kern w:val="0"/>
          <w:sz w:val="24"/>
          <w:szCs w:val="24"/>
          <w:lang w:eastAsia="nl-NL"/>
          <w14:ligatures w14:val="none"/>
        </w:rPr>
        <w:t xml:space="preserve">. </w:t>
      </w:r>
    </w:p>
    <w:p w14:paraId="0510A5F9" w14:textId="56215EBA" w:rsidR="00C23926" w:rsidRPr="00BA223B" w:rsidRDefault="00523D66" w:rsidP="00C23926">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Op grond van lokale regelgeving is het overigens niet mogelijk om </w:t>
      </w:r>
      <w:r w:rsidR="00AA7AE2">
        <w:rPr>
          <w:rFonts w:eastAsia="Times New Roman" w:cstheme="minorHAnsi"/>
          <w:bCs/>
          <w:kern w:val="0"/>
          <w:sz w:val="24"/>
          <w:szCs w:val="24"/>
          <w:lang w:eastAsia="nl-NL"/>
          <w14:ligatures w14:val="none"/>
        </w:rPr>
        <w:t xml:space="preserve">bij elk bedrijf op de </w:t>
      </w:r>
      <w:r>
        <w:rPr>
          <w:rFonts w:eastAsia="Times New Roman" w:cstheme="minorHAnsi"/>
          <w:bCs/>
          <w:kern w:val="0"/>
          <w:sz w:val="24"/>
          <w:szCs w:val="24"/>
          <w:lang w:eastAsia="nl-NL"/>
          <w14:ligatures w14:val="none"/>
        </w:rPr>
        <w:t xml:space="preserve">vergadering </w:t>
      </w:r>
      <w:r w:rsidR="00AA7AE2">
        <w:rPr>
          <w:rFonts w:eastAsia="Times New Roman" w:cstheme="minorHAnsi"/>
          <w:bCs/>
          <w:kern w:val="0"/>
          <w:sz w:val="24"/>
          <w:szCs w:val="24"/>
          <w:lang w:eastAsia="nl-NL"/>
          <w14:ligatures w14:val="none"/>
        </w:rPr>
        <w:t xml:space="preserve">van </w:t>
      </w:r>
      <w:r>
        <w:rPr>
          <w:rFonts w:eastAsia="Times New Roman" w:cstheme="minorHAnsi"/>
          <w:bCs/>
          <w:kern w:val="0"/>
          <w:sz w:val="24"/>
          <w:szCs w:val="24"/>
          <w:lang w:eastAsia="nl-NL"/>
          <w14:ligatures w14:val="none"/>
        </w:rPr>
        <w:t xml:space="preserve">een stem uit te brengen. </w:t>
      </w:r>
    </w:p>
    <w:p w14:paraId="6ABBEE90" w14:textId="77777777" w:rsidR="00C23926" w:rsidRDefault="00C23926" w:rsidP="00C23926">
      <w:pPr>
        <w:spacing w:after="0" w:line="240" w:lineRule="auto"/>
        <w:rPr>
          <w:rFonts w:eastAsia="Times New Roman" w:cstheme="minorHAnsi"/>
          <w:bCs/>
          <w:kern w:val="0"/>
          <w:sz w:val="24"/>
          <w:szCs w:val="24"/>
          <w:lang w:eastAsia="nl-NL"/>
          <w14:ligatures w14:val="none"/>
        </w:rPr>
      </w:pPr>
    </w:p>
    <w:p w14:paraId="46BBF17D" w14:textId="76C917D3" w:rsidR="00C23926" w:rsidRDefault="00C23926" w:rsidP="00C23926">
      <w:pPr>
        <w:spacing w:after="0" w:line="240" w:lineRule="auto"/>
        <w:rPr>
          <w:rFonts w:eastAsia="Times New Roman" w:cstheme="minorHAnsi"/>
          <w:bCs/>
          <w:kern w:val="0"/>
          <w:sz w:val="24"/>
          <w:szCs w:val="24"/>
          <w:lang w:eastAsia="nl-NL"/>
          <w14:ligatures w14:val="none"/>
        </w:rPr>
      </w:pPr>
      <w:r w:rsidRPr="00BA223B">
        <w:rPr>
          <w:rFonts w:eastAsia="Times New Roman" w:cstheme="minorHAnsi"/>
          <w:bCs/>
          <w:kern w:val="0"/>
          <w:sz w:val="24"/>
          <w:szCs w:val="24"/>
          <w:lang w:eastAsia="nl-NL"/>
          <w14:ligatures w14:val="none"/>
        </w:rPr>
        <w:t xml:space="preserve">In het </w:t>
      </w:r>
      <w:r w:rsidR="004E415A">
        <w:rPr>
          <w:rFonts w:eastAsia="Times New Roman" w:cstheme="minorHAnsi"/>
          <w:bCs/>
          <w:kern w:val="0"/>
          <w:sz w:val="24"/>
          <w:szCs w:val="24"/>
          <w:lang w:eastAsia="nl-NL"/>
          <w14:ligatures w14:val="none"/>
        </w:rPr>
        <w:t>4</w:t>
      </w:r>
      <w:r w:rsidRPr="00BA223B">
        <w:rPr>
          <w:rFonts w:eastAsia="Times New Roman" w:cstheme="minorHAnsi"/>
          <w:bCs/>
          <w:kern w:val="0"/>
          <w:sz w:val="24"/>
          <w:szCs w:val="24"/>
          <w:vertAlign w:val="superscript"/>
          <w:lang w:eastAsia="nl-NL"/>
          <w14:ligatures w14:val="none"/>
        </w:rPr>
        <w:t>e</w:t>
      </w:r>
      <w:r w:rsidRPr="00BA223B">
        <w:rPr>
          <w:rFonts w:eastAsia="Times New Roman" w:cstheme="minorHAnsi"/>
          <w:bCs/>
          <w:kern w:val="0"/>
          <w:sz w:val="24"/>
          <w:szCs w:val="24"/>
          <w:lang w:eastAsia="nl-NL"/>
          <w14:ligatures w14:val="none"/>
        </w:rPr>
        <w:t xml:space="preserve"> kwartaal van 2025 is op </w:t>
      </w:r>
      <w:r w:rsidR="004E415A">
        <w:rPr>
          <w:rFonts w:eastAsia="Times New Roman" w:cstheme="minorHAnsi"/>
          <w:bCs/>
          <w:kern w:val="0"/>
          <w:sz w:val="24"/>
          <w:szCs w:val="24"/>
          <w:lang w:eastAsia="nl-NL"/>
          <w14:ligatures w14:val="none"/>
        </w:rPr>
        <w:t>34</w:t>
      </w:r>
      <w:r w:rsidRPr="00BA223B">
        <w:rPr>
          <w:rFonts w:eastAsia="Times New Roman" w:cstheme="minorHAnsi"/>
          <w:bCs/>
          <w:kern w:val="0"/>
          <w:sz w:val="24"/>
          <w:szCs w:val="24"/>
          <w:lang w:eastAsia="nl-NL"/>
          <w14:ligatures w14:val="none"/>
        </w:rPr>
        <w:t xml:space="preserve"> aandeelhoudersvergaderingen op </w:t>
      </w:r>
      <w:r w:rsidR="004E415A">
        <w:rPr>
          <w:rFonts w:eastAsia="Times New Roman" w:cstheme="minorHAnsi"/>
          <w:bCs/>
          <w:kern w:val="0"/>
          <w:sz w:val="24"/>
          <w:szCs w:val="24"/>
          <w:lang w:eastAsia="nl-NL"/>
          <w14:ligatures w14:val="none"/>
        </w:rPr>
        <w:t>372</w:t>
      </w:r>
      <w:r w:rsidRPr="00BA223B">
        <w:rPr>
          <w:rFonts w:eastAsia="Times New Roman" w:cstheme="minorHAnsi"/>
          <w:bCs/>
          <w:kern w:val="0"/>
          <w:sz w:val="24"/>
          <w:szCs w:val="24"/>
          <w:lang w:eastAsia="nl-NL"/>
          <w14:ligatures w14:val="none"/>
        </w:rPr>
        <w:t xml:space="preserve"> voorstellen gestemd overeenkomstig het beleid van ISS. </w:t>
      </w:r>
    </w:p>
    <w:p w14:paraId="332C26D2" w14:textId="236A6F51" w:rsidR="00C23926" w:rsidRPr="00BA223B" w:rsidRDefault="00C23926" w:rsidP="00C23926">
      <w:pPr>
        <w:spacing w:after="0" w:line="240" w:lineRule="auto"/>
        <w:rPr>
          <w:rFonts w:eastAsia="Times New Roman" w:cstheme="minorHAnsi"/>
          <w:bCs/>
          <w:kern w:val="0"/>
          <w:sz w:val="24"/>
          <w:szCs w:val="24"/>
          <w:lang w:eastAsia="nl-NL"/>
          <w14:ligatures w14:val="none"/>
        </w:rPr>
      </w:pPr>
      <w:r w:rsidRPr="00BA223B">
        <w:rPr>
          <w:rFonts w:eastAsia="Times New Roman" w:cstheme="minorHAnsi"/>
          <w:bCs/>
          <w:kern w:val="0"/>
          <w:sz w:val="24"/>
          <w:szCs w:val="24"/>
          <w:lang w:eastAsia="nl-NL"/>
          <w14:ligatures w14:val="none"/>
        </w:rPr>
        <w:t xml:space="preserve">Hierbij is </w:t>
      </w:r>
      <w:r w:rsidR="004E415A">
        <w:rPr>
          <w:rFonts w:eastAsia="Times New Roman" w:cstheme="minorHAnsi"/>
          <w:bCs/>
          <w:kern w:val="0"/>
          <w:sz w:val="24"/>
          <w:szCs w:val="24"/>
          <w:lang w:eastAsia="nl-NL"/>
          <w14:ligatures w14:val="none"/>
        </w:rPr>
        <w:t>41</w:t>
      </w:r>
      <w:r w:rsidRPr="00BA223B">
        <w:rPr>
          <w:rFonts w:eastAsia="Times New Roman" w:cstheme="minorHAnsi"/>
          <w:bCs/>
          <w:kern w:val="0"/>
          <w:sz w:val="24"/>
          <w:szCs w:val="24"/>
          <w:lang w:eastAsia="nl-NL"/>
          <w14:ligatures w14:val="none"/>
        </w:rPr>
        <w:t xml:space="preserve"> keer </w:t>
      </w:r>
      <w:r w:rsidR="008574A3">
        <w:rPr>
          <w:rFonts w:eastAsia="Times New Roman" w:cstheme="minorHAnsi"/>
          <w:bCs/>
          <w:kern w:val="0"/>
          <w:sz w:val="24"/>
          <w:szCs w:val="24"/>
          <w:lang w:eastAsia="nl-NL"/>
          <w14:ligatures w14:val="none"/>
        </w:rPr>
        <w:t>(~</w:t>
      </w:r>
      <w:r w:rsidR="001F7B39">
        <w:rPr>
          <w:rFonts w:eastAsia="Times New Roman" w:cstheme="minorHAnsi"/>
          <w:bCs/>
          <w:kern w:val="0"/>
          <w:sz w:val="24"/>
          <w:szCs w:val="24"/>
          <w:lang w:eastAsia="nl-NL"/>
          <w14:ligatures w14:val="none"/>
        </w:rPr>
        <w:t>1</w:t>
      </w:r>
      <w:r w:rsidR="004E415A">
        <w:rPr>
          <w:rFonts w:eastAsia="Times New Roman" w:cstheme="minorHAnsi"/>
          <w:bCs/>
          <w:kern w:val="0"/>
          <w:sz w:val="24"/>
          <w:szCs w:val="24"/>
          <w:lang w:eastAsia="nl-NL"/>
          <w14:ligatures w14:val="none"/>
        </w:rPr>
        <w:t>1</w:t>
      </w:r>
      <w:r w:rsidR="008574A3">
        <w:rPr>
          <w:rFonts w:eastAsia="Times New Roman" w:cstheme="minorHAnsi"/>
          <w:bCs/>
          <w:kern w:val="0"/>
          <w:sz w:val="24"/>
          <w:szCs w:val="24"/>
          <w:lang w:eastAsia="nl-NL"/>
          <w14:ligatures w14:val="none"/>
        </w:rPr>
        <w:t xml:space="preserve">%) </w:t>
      </w:r>
      <w:r w:rsidRPr="00BA223B">
        <w:rPr>
          <w:rFonts w:eastAsia="Times New Roman" w:cstheme="minorHAnsi"/>
          <w:bCs/>
          <w:kern w:val="0"/>
          <w:sz w:val="24"/>
          <w:szCs w:val="24"/>
          <w:lang w:eastAsia="nl-NL"/>
          <w14:ligatures w14:val="none"/>
        </w:rPr>
        <w:t>tegen het voorstel van het management gestemd en</w:t>
      </w:r>
      <w:r w:rsidR="008574A3">
        <w:rPr>
          <w:rFonts w:eastAsia="Times New Roman" w:cstheme="minorHAnsi"/>
          <w:bCs/>
          <w:kern w:val="0"/>
          <w:sz w:val="24"/>
          <w:szCs w:val="24"/>
          <w:lang w:eastAsia="nl-NL"/>
          <w14:ligatures w14:val="none"/>
        </w:rPr>
        <w:t xml:space="preserve"> </w:t>
      </w:r>
      <w:r w:rsidR="001F7B39">
        <w:rPr>
          <w:rFonts w:eastAsia="Times New Roman" w:cstheme="minorHAnsi"/>
          <w:bCs/>
          <w:kern w:val="0"/>
          <w:sz w:val="24"/>
          <w:szCs w:val="24"/>
          <w:lang w:eastAsia="nl-NL"/>
          <w14:ligatures w14:val="none"/>
        </w:rPr>
        <w:t>1</w:t>
      </w:r>
      <w:r w:rsidR="004E415A">
        <w:rPr>
          <w:rFonts w:eastAsia="Times New Roman" w:cstheme="minorHAnsi"/>
          <w:bCs/>
          <w:kern w:val="0"/>
          <w:sz w:val="24"/>
          <w:szCs w:val="24"/>
          <w:lang w:eastAsia="nl-NL"/>
          <w14:ligatures w14:val="none"/>
        </w:rPr>
        <w:t>8</w:t>
      </w:r>
      <w:r w:rsidRPr="00BA223B">
        <w:rPr>
          <w:rFonts w:eastAsia="Times New Roman" w:cstheme="minorHAnsi"/>
          <w:bCs/>
          <w:kern w:val="0"/>
          <w:sz w:val="24"/>
          <w:szCs w:val="24"/>
          <w:lang w:eastAsia="nl-NL"/>
          <w14:ligatures w14:val="none"/>
        </w:rPr>
        <w:t xml:space="preserve"> keer</w:t>
      </w:r>
      <w:r w:rsidR="008574A3">
        <w:rPr>
          <w:rFonts w:eastAsia="Times New Roman" w:cstheme="minorHAnsi"/>
          <w:bCs/>
          <w:kern w:val="0"/>
          <w:sz w:val="24"/>
          <w:szCs w:val="24"/>
          <w:lang w:eastAsia="nl-NL"/>
          <w14:ligatures w14:val="none"/>
        </w:rPr>
        <w:t xml:space="preserve"> </w:t>
      </w:r>
      <w:r w:rsidRPr="00BA223B">
        <w:rPr>
          <w:rFonts w:eastAsia="Times New Roman" w:cstheme="minorHAnsi"/>
          <w:bCs/>
          <w:kern w:val="0"/>
          <w:sz w:val="24"/>
          <w:szCs w:val="24"/>
          <w:lang w:eastAsia="nl-NL"/>
          <w14:ligatures w14:val="none"/>
        </w:rPr>
        <w:t>v</w:t>
      </w:r>
      <w:r w:rsidR="00523D66">
        <w:rPr>
          <w:rFonts w:eastAsia="Times New Roman" w:cstheme="minorHAnsi"/>
          <w:bCs/>
          <w:kern w:val="0"/>
          <w:sz w:val="24"/>
          <w:szCs w:val="24"/>
          <w:lang w:eastAsia="nl-NL"/>
          <w14:ligatures w14:val="none"/>
        </w:rPr>
        <w:t>óó</w:t>
      </w:r>
      <w:r w:rsidRPr="00BA223B">
        <w:rPr>
          <w:rFonts w:eastAsia="Times New Roman" w:cstheme="minorHAnsi"/>
          <w:bCs/>
          <w:kern w:val="0"/>
          <w:sz w:val="24"/>
          <w:szCs w:val="24"/>
          <w:lang w:eastAsia="nl-NL"/>
          <w14:ligatures w14:val="none"/>
        </w:rPr>
        <w:t xml:space="preserve">r een voorstel gestemd waar het management tegen stemde. </w:t>
      </w:r>
      <w:r w:rsidR="00E95B8C">
        <w:rPr>
          <w:rFonts w:eastAsia="Times New Roman" w:cstheme="minorHAnsi"/>
          <w:bCs/>
          <w:kern w:val="0"/>
          <w:sz w:val="24"/>
          <w:szCs w:val="24"/>
          <w:lang w:eastAsia="nl-NL"/>
          <w14:ligatures w14:val="none"/>
        </w:rPr>
        <w:t xml:space="preserve">Ook onthield </w:t>
      </w:r>
      <w:r w:rsidRPr="00BA223B">
        <w:rPr>
          <w:rFonts w:eastAsia="Times New Roman" w:cstheme="minorHAnsi"/>
          <w:bCs/>
          <w:kern w:val="0"/>
          <w:sz w:val="24"/>
          <w:szCs w:val="24"/>
          <w:lang w:eastAsia="nl-NL"/>
          <w14:ligatures w14:val="none"/>
        </w:rPr>
        <w:t xml:space="preserve">ISS zich van </w:t>
      </w:r>
      <w:r w:rsidR="00E95B8C">
        <w:rPr>
          <w:rFonts w:eastAsia="Times New Roman" w:cstheme="minorHAnsi"/>
          <w:bCs/>
          <w:kern w:val="0"/>
          <w:sz w:val="24"/>
          <w:szCs w:val="24"/>
          <w:lang w:eastAsia="nl-NL"/>
          <w14:ligatures w14:val="none"/>
        </w:rPr>
        <w:t xml:space="preserve">een keer van </w:t>
      </w:r>
      <w:r w:rsidRPr="00BA223B">
        <w:rPr>
          <w:rFonts w:eastAsia="Times New Roman" w:cstheme="minorHAnsi"/>
          <w:bCs/>
          <w:kern w:val="0"/>
          <w:sz w:val="24"/>
          <w:szCs w:val="24"/>
          <w:lang w:eastAsia="nl-NL"/>
          <w14:ligatures w14:val="none"/>
        </w:rPr>
        <w:t>stemming.</w:t>
      </w:r>
    </w:p>
    <w:p w14:paraId="3FDA1B09" w14:textId="77777777" w:rsidR="00C23926" w:rsidRDefault="00C23926" w:rsidP="00C23926">
      <w:pPr>
        <w:spacing w:after="0" w:line="240" w:lineRule="auto"/>
        <w:rPr>
          <w:rFonts w:eastAsia="Times New Roman" w:cstheme="minorHAnsi"/>
          <w:bCs/>
          <w:kern w:val="0"/>
          <w:sz w:val="24"/>
          <w:szCs w:val="24"/>
          <w:lang w:eastAsia="nl-NL"/>
          <w14:ligatures w14:val="none"/>
        </w:rPr>
      </w:pPr>
    </w:p>
    <w:p w14:paraId="46C56E01" w14:textId="77777777" w:rsidR="008574A3" w:rsidRDefault="008574A3" w:rsidP="00C23926">
      <w:pPr>
        <w:spacing w:after="0" w:line="240" w:lineRule="auto"/>
        <w:rPr>
          <w:rFonts w:eastAsia="Times New Roman" w:cstheme="minorHAnsi"/>
          <w:bCs/>
          <w:kern w:val="0"/>
          <w:sz w:val="24"/>
          <w:szCs w:val="24"/>
          <w:lang w:eastAsia="nl-NL"/>
          <w14:ligatures w14:val="none"/>
        </w:rPr>
      </w:pPr>
    </w:p>
    <w:p w14:paraId="3EB6AC06" w14:textId="18B42670" w:rsidR="00A46B42" w:rsidRPr="00A46B42" w:rsidRDefault="00A46B42" w:rsidP="00A46B42">
      <w:pPr>
        <w:rPr>
          <w:rFonts w:eastAsia="Times New Roman" w:cstheme="minorHAnsi"/>
          <w:b/>
          <w:kern w:val="0"/>
          <w:sz w:val="28"/>
          <w:szCs w:val="28"/>
          <w:u w:val="single"/>
          <w:lang w:eastAsia="nl-NL"/>
          <w14:ligatures w14:val="none"/>
        </w:rPr>
      </w:pPr>
      <w:r w:rsidRPr="00A46B42">
        <w:rPr>
          <w:rFonts w:eastAsia="Times New Roman" w:cstheme="minorHAnsi"/>
          <w:b/>
          <w:kern w:val="0"/>
          <w:sz w:val="28"/>
          <w:szCs w:val="28"/>
          <w:u w:val="single"/>
          <w:lang w:eastAsia="nl-NL"/>
          <w14:ligatures w14:val="none"/>
        </w:rPr>
        <w:t>Engagementbeleid</w:t>
      </w:r>
      <w:r>
        <w:rPr>
          <w:rFonts w:eastAsia="Times New Roman" w:cstheme="minorHAnsi"/>
          <w:b/>
          <w:kern w:val="0"/>
          <w:sz w:val="28"/>
          <w:szCs w:val="28"/>
          <w:u w:val="single"/>
          <w:lang w:eastAsia="nl-NL"/>
          <w14:ligatures w14:val="none"/>
        </w:rPr>
        <w:t xml:space="preserve"> overige beleggingsfondsen in de portefeuille van Pensioenfonds TNO</w:t>
      </w:r>
    </w:p>
    <w:p w14:paraId="52037B39" w14:textId="57120D9A" w:rsidR="00A46B42" w:rsidRDefault="00A46B42" w:rsidP="00A46B42">
      <w:pPr>
        <w:rPr>
          <w:rFonts w:eastAsia="Times New Roman" w:cstheme="minorHAnsi"/>
          <w:bCs/>
          <w:kern w:val="0"/>
          <w:sz w:val="24"/>
          <w:szCs w:val="24"/>
          <w:lang w:eastAsia="nl-NL"/>
          <w14:ligatures w14:val="none"/>
        </w:rPr>
      </w:pPr>
      <w:r w:rsidRPr="00A46B42">
        <w:rPr>
          <w:rFonts w:eastAsia="Times New Roman" w:cstheme="minorHAnsi"/>
          <w:bCs/>
          <w:kern w:val="0"/>
          <w:sz w:val="24"/>
          <w:szCs w:val="24"/>
          <w:lang w:eastAsia="nl-NL"/>
          <w14:ligatures w14:val="none"/>
        </w:rPr>
        <w:t xml:space="preserve">Het engagementbeleid van onze beleggingsfondsmanagers </w:t>
      </w:r>
      <w:r w:rsidR="008240F4">
        <w:rPr>
          <w:rFonts w:eastAsia="Times New Roman" w:cstheme="minorHAnsi"/>
          <w:bCs/>
          <w:kern w:val="0"/>
          <w:sz w:val="24"/>
          <w:szCs w:val="24"/>
          <w:lang w:eastAsia="nl-NL"/>
          <w14:ligatures w14:val="none"/>
        </w:rPr>
        <w:t xml:space="preserve">in de andere categorieën liquide beleggingen </w:t>
      </w:r>
      <w:r>
        <w:rPr>
          <w:rFonts w:eastAsia="Times New Roman" w:cstheme="minorHAnsi"/>
          <w:bCs/>
          <w:kern w:val="0"/>
          <w:sz w:val="24"/>
          <w:szCs w:val="24"/>
          <w:lang w:eastAsia="nl-NL"/>
          <w14:ligatures w14:val="none"/>
        </w:rPr>
        <w:t>i</w:t>
      </w:r>
      <w:r w:rsidRPr="00A46B42">
        <w:rPr>
          <w:rFonts w:eastAsia="Times New Roman" w:cstheme="minorHAnsi"/>
          <w:bCs/>
          <w:kern w:val="0"/>
          <w:sz w:val="24"/>
          <w:szCs w:val="24"/>
          <w:lang w:eastAsia="nl-NL"/>
          <w14:ligatures w14:val="none"/>
        </w:rPr>
        <w:t>s publiekelijk toegankelijk</w:t>
      </w:r>
      <w:r>
        <w:rPr>
          <w:rFonts w:eastAsia="Times New Roman" w:cstheme="minorHAnsi"/>
          <w:bCs/>
          <w:kern w:val="0"/>
          <w:sz w:val="24"/>
          <w:szCs w:val="24"/>
          <w:lang w:eastAsia="nl-NL"/>
          <w14:ligatures w14:val="none"/>
        </w:rPr>
        <w:t xml:space="preserve"> via de volgende websites</w:t>
      </w:r>
      <w:r w:rsidRPr="00A46B42">
        <w:rPr>
          <w:rFonts w:eastAsia="Times New Roman" w:cstheme="minorHAnsi"/>
          <w:bCs/>
          <w:kern w:val="0"/>
          <w:sz w:val="24"/>
          <w:szCs w:val="24"/>
          <w:lang w:eastAsia="nl-NL"/>
          <w14:ligatures w14:val="none"/>
        </w:rPr>
        <w:t xml:space="preserve">: </w:t>
      </w:r>
    </w:p>
    <w:p w14:paraId="04E29E9B" w14:textId="435430D2" w:rsidR="00A46B42" w:rsidRPr="008240F4" w:rsidRDefault="004C2EDD" w:rsidP="00A46B42">
      <w:pPr>
        <w:spacing w:after="0" w:line="240" w:lineRule="auto"/>
        <w:jc w:val="both"/>
      </w:pPr>
      <w:r w:rsidRPr="008240F4">
        <w:t>A</w:t>
      </w:r>
      <w:r w:rsidR="00A46B42" w:rsidRPr="008240F4">
        <w:t>andelen</w:t>
      </w:r>
      <w:r w:rsidRPr="008240F4">
        <w:t xml:space="preserve"> opkomende landen:</w:t>
      </w:r>
    </w:p>
    <w:p w14:paraId="6F01DA97" w14:textId="596415BE" w:rsidR="00A46B42" w:rsidRPr="00DC23B6" w:rsidRDefault="00A46B42" w:rsidP="00A46B42">
      <w:pPr>
        <w:numPr>
          <w:ilvl w:val="0"/>
          <w:numId w:val="7"/>
        </w:numPr>
        <w:spacing w:after="0" w:line="240" w:lineRule="auto"/>
        <w:jc w:val="both"/>
        <w:rPr>
          <w:i/>
        </w:rPr>
      </w:pPr>
      <w:hyperlink r:id="rId20" w:history="1">
        <w:r w:rsidRPr="00DC23B6">
          <w:rPr>
            <w:rStyle w:val="Hyperlink"/>
          </w:rPr>
          <w:t>https://www.northerntrust.com/united-kingdom/what-we-do/investment-management/stewardship</w:t>
        </w:r>
      </w:hyperlink>
      <w:r w:rsidRPr="00DC23B6">
        <w:t xml:space="preserve"> </w:t>
      </w:r>
    </w:p>
    <w:p w14:paraId="59AB9AA5" w14:textId="337D8023" w:rsidR="00A46B42" w:rsidRPr="00DC23B6" w:rsidRDefault="00A46B42" w:rsidP="00A46B42">
      <w:pPr>
        <w:numPr>
          <w:ilvl w:val="0"/>
          <w:numId w:val="7"/>
        </w:numPr>
        <w:spacing w:after="0" w:line="240" w:lineRule="auto"/>
        <w:jc w:val="both"/>
      </w:pPr>
      <w:hyperlink r:id="rId21" w:history="1">
        <w:r w:rsidRPr="00DC23B6">
          <w:rPr>
            <w:rStyle w:val="Hyperlink"/>
          </w:rPr>
          <w:t>https://about.vanguard.com/investment-stewardship/</w:t>
        </w:r>
      </w:hyperlink>
    </w:p>
    <w:p w14:paraId="2FAF1C4E" w14:textId="06539778" w:rsidR="004C2EDD" w:rsidRDefault="00A46B42" w:rsidP="00A46B42">
      <w:pPr>
        <w:spacing w:after="0" w:line="240" w:lineRule="auto"/>
        <w:jc w:val="both"/>
      </w:pPr>
      <w:r w:rsidRPr="004C2EDD">
        <w:t>Obligaties: LDI, Europese bedrijfsobligaties en</w:t>
      </w:r>
      <w:r w:rsidR="004C2EDD" w:rsidRPr="004C2EDD">
        <w:t xml:space="preserve"> Obligaties uit opkomende lande</w:t>
      </w:r>
      <w:r w:rsidR="004C2EDD">
        <w:t xml:space="preserve">n </w:t>
      </w:r>
    </w:p>
    <w:p w14:paraId="79344653" w14:textId="77777777" w:rsidR="004C2EDD" w:rsidRPr="003725A7" w:rsidRDefault="004C2EDD" w:rsidP="004C2EDD">
      <w:pPr>
        <w:numPr>
          <w:ilvl w:val="0"/>
          <w:numId w:val="7"/>
        </w:numPr>
        <w:spacing w:after="0" w:line="240" w:lineRule="auto"/>
        <w:jc w:val="both"/>
      </w:pPr>
      <w:hyperlink r:id="rId22" w:history="1">
        <w:r w:rsidRPr="003725A7">
          <w:rPr>
            <w:rStyle w:val="Hyperlink"/>
          </w:rPr>
          <w:t>https://www.blackrock.com/corporate/about-us/investment-stewardship</w:t>
        </w:r>
      </w:hyperlink>
    </w:p>
    <w:p w14:paraId="657AC9D3" w14:textId="0D2E02D5" w:rsidR="004C2EDD" w:rsidRPr="004C2EDD" w:rsidRDefault="004C2EDD" w:rsidP="004C2EDD">
      <w:pPr>
        <w:spacing w:after="0" w:line="240" w:lineRule="auto"/>
        <w:jc w:val="both"/>
        <w:rPr>
          <w:iCs/>
        </w:rPr>
      </w:pPr>
      <w:r>
        <w:rPr>
          <w:iCs/>
        </w:rPr>
        <w:t>Europese bedrijfsobligaties:</w:t>
      </w:r>
    </w:p>
    <w:p w14:paraId="674B686B" w14:textId="77777777" w:rsidR="004C2EDD" w:rsidRPr="00463CC6" w:rsidRDefault="004C2EDD" w:rsidP="004C2EDD">
      <w:pPr>
        <w:numPr>
          <w:ilvl w:val="0"/>
          <w:numId w:val="7"/>
        </w:numPr>
        <w:spacing w:after="0" w:line="240" w:lineRule="auto"/>
        <w:jc w:val="both"/>
        <w:rPr>
          <w:rStyle w:val="Hyperlink"/>
        </w:rPr>
      </w:pPr>
      <w:hyperlink r:id="rId23" w:history="1">
        <w:r w:rsidRPr="00463CC6">
          <w:rPr>
            <w:rStyle w:val="Hyperlink"/>
          </w:rPr>
          <w:t>https://www.mandgplc.com/~/media/Files/M/MandG-Plc/documents/responsible-investing/stewardship/mg-investments-annual-stewardship-report-2021.pdf</w:t>
        </w:r>
      </w:hyperlink>
    </w:p>
    <w:p w14:paraId="366FAF08" w14:textId="3D24B3E6" w:rsidR="00A46B42" w:rsidRPr="004C2EDD" w:rsidRDefault="004C2EDD" w:rsidP="00A46B42">
      <w:pPr>
        <w:spacing w:after="0" w:line="240" w:lineRule="auto"/>
        <w:jc w:val="both"/>
      </w:pPr>
      <w:r>
        <w:t>Obligaties opkomende landen:</w:t>
      </w:r>
    </w:p>
    <w:p w14:paraId="275881D0" w14:textId="77777777" w:rsidR="00A46B42" w:rsidRPr="00463CC6" w:rsidRDefault="00A46B42" w:rsidP="00A46B42">
      <w:pPr>
        <w:numPr>
          <w:ilvl w:val="0"/>
          <w:numId w:val="7"/>
        </w:numPr>
        <w:spacing w:after="0" w:line="240" w:lineRule="auto"/>
        <w:jc w:val="both"/>
        <w:rPr>
          <w:rStyle w:val="Hyperlink"/>
        </w:rPr>
      </w:pPr>
      <w:hyperlink r:id="rId24" w:history="1">
        <w:r w:rsidRPr="008C624F">
          <w:rPr>
            <w:rStyle w:val="Hyperlink"/>
          </w:rPr>
          <w:t>https://www.nb.com/pages/public/global/esg-investing.aspx</w:t>
        </w:r>
      </w:hyperlink>
    </w:p>
    <w:p w14:paraId="4547AECC" w14:textId="25775675" w:rsidR="00C23926" w:rsidRPr="004C2EDD" w:rsidRDefault="00C23926">
      <w:pPr>
        <w:rPr>
          <w:rFonts w:ascii="Times New Roman" w:eastAsia="Times New Roman" w:hAnsi="Times New Roman" w:cs="Times New Roman"/>
          <w:b/>
          <w:bCs/>
          <w:kern w:val="0"/>
          <w:sz w:val="28"/>
          <w:szCs w:val="28"/>
          <w:u w:val="single"/>
          <w:lang w:eastAsia="nl-NL"/>
          <w14:ligatures w14:val="none"/>
        </w:rPr>
      </w:pPr>
      <w:r w:rsidRPr="004C2EDD">
        <w:rPr>
          <w:rFonts w:ascii="Times New Roman" w:eastAsia="Times New Roman" w:hAnsi="Times New Roman" w:cs="Times New Roman"/>
          <w:b/>
          <w:bCs/>
          <w:kern w:val="0"/>
          <w:sz w:val="28"/>
          <w:szCs w:val="28"/>
          <w:u w:val="single"/>
          <w:lang w:eastAsia="nl-NL"/>
          <w14:ligatures w14:val="none"/>
        </w:rPr>
        <w:br w:type="page"/>
      </w:r>
    </w:p>
    <w:p w14:paraId="6904B871" w14:textId="77777777" w:rsidR="00BD59DD" w:rsidRDefault="00BD59DD" w:rsidP="007144E2">
      <w:pPr>
        <w:rPr>
          <w:rFonts w:eastAsia="Times New Roman" w:cstheme="minorHAnsi"/>
          <w:b/>
          <w:bCs/>
          <w:kern w:val="0"/>
          <w:sz w:val="28"/>
          <w:szCs w:val="28"/>
          <w:u w:val="single"/>
          <w:lang w:eastAsia="nl-NL"/>
          <w14:ligatures w14:val="none"/>
        </w:rPr>
      </w:pPr>
    </w:p>
    <w:p w14:paraId="09F99229" w14:textId="745481CE" w:rsidR="006B1A17" w:rsidRPr="00BA223B" w:rsidRDefault="006B1A17" w:rsidP="007144E2">
      <w:pPr>
        <w:rPr>
          <w:rFonts w:eastAsia="Times New Roman" w:cstheme="minorHAnsi"/>
          <w:b/>
          <w:bCs/>
          <w:kern w:val="0"/>
          <w:sz w:val="28"/>
          <w:szCs w:val="28"/>
          <w:u w:val="single"/>
          <w:lang w:eastAsia="nl-NL"/>
          <w14:ligatures w14:val="none"/>
        </w:rPr>
      </w:pPr>
      <w:r>
        <w:rPr>
          <w:rFonts w:eastAsia="Times New Roman" w:cstheme="minorHAnsi"/>
          <w:b/>
          <w:bCs/>
          <w:kern w:val="0"/>
          <w:sz w:val="28"/>
          <w:szCs w:val="28"/>
          <w:u w:val="single"/>
          <w:lang w:eastAsia="nl-NL"/>
          <w14:ligatures w14:val="none"/>
        </w:rPr>
        <w:t>Engagement in vastgoed</w:t>
      </w:r>
      <w:r w:rsidR="001A25DA">
        <w:rPr>
          <w:rFonts w:eastAsia="Times New Roman" w:cstheme="minorHAnsi"/>
          <w:b/>
          <w:bCs/>
          <w:kern w:val="0"/>
          <w:sz w:val="28"/>
          <w:szCs w:val="28"/>
          <w:u w:val="single"/>
          <w:lang w:eastAsia="nl-NL"/>
          <w14:ligatures w14:val="none"/>
        </w:rPr>
        <w:t>: GREEN rapportage over 2024</w:t>
      </w:r>
    </w:p>
    <w:p w14:paraId="0D1AAF1E" w14:textId="77777777" w:rsidR="00C67867" w:rsidRDefault="00C67867" w:rsidP="002B6B0C">
      <w:pPr>
        <w:spacing w:after="0" w:line="240" w:lineRule="auto"/>
        <w:rPr>
          <w:rFonts w:eastAsia="Times New Roman" w:cstheme="minorHAnsi"/>
          <w:bCs/>
          <w:kern w:val="0"/>
          <w:sz w:val="24"/>
          <w:szCs w:val="24"/>
          <w:lang w:eastAsia="nl-NL"/>
          <w14:ligatures w14:val="none"/>
        </w:rPr>
      </w:pPr>
    </w:p>
    <w:p w14:paraId="230C0A4F" w14:textId="1521713A" w:rsidR="00495BA5" w:rsidRDefault="001A25DA" w:rsidP="002B6B0C">
      <w:pPr>
        <w:spacing w:after="0" w:line="240" w:lineRule="auto"/>
        <w:rPr>
          <w:rFonts w:ascii="Calibri" w:eastAsia="Arial" w:hAnsi="Calibri" w:cs="Calibri"/>
          <w:sz w:val="24"/>
          <w:szCs w:val="24"/>
        </w:rPr>
      </w:pPr>
      <w:r>
        <w:rPr>
          <w:rFonts w:eastAsia="Times New Roman" w:cstheme="minorHAnsi"/>
          <w:bCs/>
          <w:kern w:val="0"/>
          <w:sz w:val="24"/>
          <w:szCs w:val="24"/>
          <w:lang w:eastAsia="nl-NL"/>
          <w14:ligatures w14:val="none"/>
        </w:rPr>
        <w:t xml:space="preserve">Pensioenfonds TNO heeft zich </w:t>
      </w:r>
      <w:r w:rsidR="007C5689">
        <w:rPr>
          <w:rFonts w:eastAsia="Times New Roman" w:cstheme="minorHAnsi"/>
          <w:bCs/>
          <w:kern w:val="0"/>
          <w:sz w:val="24"/>
          <w:szCs w:val="24"/>
          <w:lang w:eastAsia="nl-NL"/>
          <w14:ligatures w14:val="none"/>
        </w:rPr>
        <w:t xml:space="preserve">in 2021 </w:t>
      </w:r>
      <w:r>
        <w:rPr>
          <w:rFonts w:eastAsia="Times New Roman" w:cstheme="minorHAnsi"/>
          <w:bCs/>
          <w:kern w:val="0"/>
          <w:sz w:val="24"/>
          <w:szCs w:val="24"/>
          <w:lang w:eastAsia="nl-NL"/>
          <w14:ligatures w14:val="none"/>
        </w:rPr>
        <w:t>voor de categorie vastgoed aangesloten bij GREEN (</w:t>
      </w:r>
      <w:r w:rsidRPr="003A5BF4">
        <w:rPr>
          <w:rFonts w:ascii="Calibri" w:eastAsia="Arial" w:hAnsi="Calibri" w:cs="Calibri"/>
          <w:sz w:val="24"/>
          <w:szCs w:val="24"/>
        </w:rPr>
        <w:t xml:space="preserve">Global Real </w:t>
      </w:r>
      <w:proofErr w:type="spellStart"/>
      <w:r w:rsidRPr="003A5BF4">
        <w:rPr>
          <w:rFonts w:ascii="Calibri" w:eastAsia="Arial" w:hAnsi="Calibri" w:cs="Calibri"/>
          <w:sz w:val="24"/>
          <w:szCs w:val="24"/>
        </w:rPr>
        <w:t>Estate</w:t>
      </w:r>
      <w:proofErr w:type="spellEnd"/>
      <w:r w:rsidRPr="003A5BF4">
        <w:rPr>
          <w:rFonts w:ascii="Calibri" w:eastAsia="Arial" w:hAnsi="Calibri" w:cs="Calibri"/>
          <w:sz w:val="24"/>
          <w:szCs w:val="24"/>
        </w:rPr>
        <w:t xml:space="preserve"> Engagement Network). Dit samenwerkingsverband</w:t>
      </w:r>
      <w:r>
        <w:rPr>
          <w:rFonts w:ascii="Calibri" w:eastAsia="Arial" w:hAnsi="Calibri" w:cs="Calibri"/>
          <w:sz w:val="24"/>
          <w:szCs w:val="24"/>
        </w:rPr>
        <w:t xml:space="preserve"> van 30 leden </w:t>
      </w:r>
      <w:r w:rsidRPr="003A5BF4">
        <w:rPr>
          <w:rFonts w:ascii="Calibri" w:eastAsia="Arial" w:hAnsi="Calibri" w:cs="Calibri"/>
          <w:sz w:val="24"/>
          <w:szCs w:val="24"/>
        </w:rPr>
        <w:t>richt zich specifiek op klimaatengagement met beursgenoteerde en niet-beursgenoteerde vastgoedfondsen. Omdat de vastgoedsector voor een belangrijk deel verantwoordelijk is voor het energieverbruik en de CO</w:t>
      </w:r>
      <w:r w:rsidRPr="003A5BF4">
        <w:rPr>
          <w:rFonts w:ascii="Calibri" w:eastAsia="Arial" w:hAnsi="Calibri" w:cs="Calibri"/>
          <w:sz w:val="24"/>
          <w:szCs w:val="24"/>
          <w:vertAlign w:val="subscript"/>
        </w:rPr>
        <w:t>2</w:t>
      </w:r>
      <w:r w:rsidRPr="003A5BF4">
        <w:rPr>
          <w:rFonts w:ascii="Calibri" w:eastAsia="Arial" w:hAnsi="Calibri" w:cs="Calibri"/>
          <w:sz w:val="24"/>
          <w:szCs w:val="24"/>
        </w:rPr>
        <w:t>-uitstoot, valt er middels deze dialoog nog veel klimaatwinst te boeken.</w:t>
      </w:r>
      <w:r>
        <w:rPr>
          <w:rFonts w:ascii="Calibri" w:eastAsia="Arial" w:hAnsi="Calibri" w:cs="Calibri"/>
          <w:sz w:val="24"/>
          <w:szCs w:val="24"/>
        </w:rPr>
        <w:t xml:space="preserve"> GREEN rapporteert jaarlijks over hun dialogen met vastgoedondernemingen</w:t>
      </w:r>
      <w:r w:rsidR="007C5689">
        <w:rPr>
          <w:rFonts w:ascii="Calibri" w:eastAsia="Arial" w:hAnsi="Calibri" w:cs="Calibri"/>
          <w:sz w:val="24"/>
          <w:szCs w:val="24"/>
        </w:rPr>
        <w:t xml:space="preserve"> in hoeverre zijn hun doelstellingen halen</w:t>
      </w:r>
      <w:r>
        <w:rPr>
          <w:rFonts w:ascii="Calibri" w:eastAsia="Arial" w:hAnsi="Calibri" w:cs="Calibri"/>
          <w:sz w:val="24"/>
          <w:szCs w:val="24"/>
        </w:rPr>
        <w:t>.</w:t>
      </w:r>
    </w:p>
    <w:p w14:paraId="5A02F766" w14:textId="77777777" w:rsidR="001A25DA" w:rsidRDefault="001A25DA" w:rsidP="002B6B0C">
      <w:pPr>
        <w:spacing w:after="0" w:line="240" w:lineRule="auto"/>
        <w:rPr>
          <w:rFonts w:ascii="Calibri" w:eastAsia="Arial" w:hAnsi="Calibri" w:cs="Calibri"/>
          <w:sz w:val="24"/>
          <w:szCs w:val="24"/>
        </w:rPr>
      </w:pPr>
    </w:p>
    <w:p w14:paraId="467BB35D" w14:textId="6D9EEC1C" w:rsidR="001A25DA" w:rsidRDefault="001A25DA" w:rsidP="002B6B0C">
      <w:pPr>
        <w:spacing w:after="0" w:line="240" w:lineRule="auto"/>
        <w:rPr>
          <w:rFonts w:ascii="Calibri" w:eastAsia="Arial" w:hAnsi="Calibri" w:cs="Calibri"/>
          <w:sz w:val="24"/>
          <w:szCs w:val="24"/>
        </w:rPr>
      </w:pPr>
      <w:r>
        <w:rPr>
          <w:rFonts w:ascii="Calibri" w:eastAsia="Arial" w:hAnsi="Calibri" w:cs="Calibri"/>
          <w:sz w:val="24"/>
          <w:szCs w:val="24"/>
        </w:rPr>
        <w:t>In 2024 heeft GREEN voor de 7 beursgenoteerde vastgoedfondsen waarin we beleggen gesprekken gevoerd over hun klimaatbeleid. GREEN richt zich in die gesprekken op meerdere thema’s, zoals</w:t>
      </w:r>
      <w:r w:rsidR="00C06439">
        <w:rPr>
          <w:rFonts w:ascii="Calibri" w:eastAsia="Arial" w:hAnsi="Calibri" w:cs="Calibri"/>
          <w:sz w:val="24"/>
          <w:szCs w:val="24"/>
        </w:rPr>
        <w:t xml:space="preserve"> specifieke</w:t>
      </w:r>
      <w:r>
        <w:rPr>
          <w:rFonts w:ascii="Calibri" w:eastAsia="Arial" w:hAnsi="Calibri" w:cs="Calibri"/>
          <w:sz w:val="24"/>
          <w:szCs w:val="24"/>
        </w:rPr>
        <w:t xml:space="preserve"> klimaatdoelstellingen of publicatie </w:t>
      </w:r>
      <w:r w:rsidR="00C06439">
        <w:rPr>
          <w:rFonts w:ascii="Calibri" w:eastAsia="Arial" w:hAnsi="Calibri" w:cs="Calibri"/>
          <w:sz w:val="24"/>
          <w:szCs w:val="24"/>
        </w:rPr>
        <w:t xml:space="preserve">van </w:t>
      </w:r>
      <w:r>
        <w:rPr>
          <w:rFonts w:ascii="Calibri" w:eastAsia="Arial" w:hAnsi="Calibri" w:cs="Calibri"/>
          <w:sz w:val="24"/>
          <w:szCs w:val="24"/>
        </w:rPr>
        <w:t xml:space="preserve">het energiegebruik en </w:t>
      </w:r>
      <w:r w:rsidR="00C06439" w:rsidRPr="003A5BF4">
        <w:rPr>
          <w:rFonts w:ascii="Calibri" w:eastAsia="Arial" w:hAnsi="Calibri" w:cs="Calibri"/>
          <w:sz w:val="24"/>
          <w:szCs w:val="24"/>
        </w:rPr>
        <w:t>CO</w:t>
      </w:r>
      <w:r w:rsidR="00C06439" w:rsidRPr="003A5BF4">
        <w:rPr>
          <w:rFonts w:ascii="Calibri" w:eastAsia="Arial" w:hAnsi="Calibri" w:cs="Calibri"/>
          <w:sz w:val="24"/>
          <w:szCs w:val="24"/>
          <w:vertAlign w:val="subscript"/>
        </w:rPr>
        <w:t>2</w:t>
      </w:r>
      <w:r w:rsidR="00C06439">
        <w:rPr>
          <w:rFonts w:ascii="Calibri" w:eastAsia="Arial" w:hAnsi="Calibri" w:cs="Calibri"/>
          <w:sz w:val="24"/>
          <w:szCs w:val="24"/>
        </w:rPr>
        <w:t>-</w:t>
      </w:r>
      <w:r>
        <w:rPr>
          <w:rFonts w:ascii="Calibri" w:eastAsia="Arial" w:hAnsi="Calibri" w:cs="Calibri"/>
          <w:sz w:val="24"/>
          <w:szCs w:val="24"/>
        </w:rPr>
        <w:t xml:space="preserve"> emissies</w:t>
      </w:r>
      <w:r w:rsidR="00C06439">
        <w:rPr>
          <w:rFonts w:ascii="Calibri" w:eastAsia="Arial" w:hAnsi="Calibri" w:cs="Calibri"/>
          <w:sz w:val="24"/>
          <w:szCs w:val="24"/>
        </w:rPr>
        <w:t xml:space="preserve"> om</w:t>
      </w:r>
      <w:r>
        <w:rPr>
          <w:rFonts w:ascii="Calibri" w:eastAsia="Arial" w:hAnsi="Calibri" w:cs="Calibri"/>
          <w:sz w:val="24"/>
          <w:szCs w:val="24"/>
        </w:rPr>
        <w:t xml:space="preserve"> meer openheid te krijgen en zo vooruitgang te boeken</w:t>
      </w:r>
      <w:r w:rsidR="00B938E4">
        <w:rPr>
          <w:rFonts w:ascii="Calibri" w:eastAsia="Arial" w:hAnsi="Calibri" w:cs="Calibri"/>
          <w:sz w:val="24"/>
          <w:szCs w:val="24"/>
        </w:rPr>
        <w:t xml:space="preserve"> op klimaatgebied.</w:t>
      </w:r>
    </w:p>
    <w:p w14:paraId="2F2C6C94" w14:textId="77777777" w:rsidR="00B938E4" w:rsidRDefault="00B938E4" w:rsidP="002B6B0C">
      <w:pPr>
        <w:spacing w:after="0" w:line="240" w:lineRule="auto"/>
        <w:rPr>
          <w:rFonts w:ascii="Calibri" w:eastAsia="Arial" w:hAnsi="Calibri" w:cs="Calibri"/>
          <w:sz w:val="24"/>
          <w:szCs w:val="24"/>
        </w:rPr>
      </w:pPr>
    </w:p>
    <w:p w14:paraId="0EFE3467" w14:textId="77777777" w:rsidR="00B938E4" w:rsidRPr="00B938E4" w:rsidRDefault="00B938E4" w:rsidP="00B938E4">
      <w:pPr>
        <w:spacing w:after="0" w:line="240" w:lineRule="auto"/>
        <w:rPr>
          <w:rFonts w:ascii="Calibri" w:eastAsia="Arial" w:hAnsi="Calibri" w:cs="Calibri"/>
          <w:sz w:val="24"/>
          <w:szCs w:val="24"/>
        </w:rPr>
      </w:pPr>
      <w:r w:rsidRPr="00B938E4">
        <w:rPr>
          <w:rFonts w:ascii="Calibri" w:eastAsia="Arial" w:hAnsi="Calibri" w:cs="Calibri"/>
          <w:sz w:val="24"/>
          <w:szCs w:val="24"/>
        </w:rPr>
        <w:t xml:space="preserve">Een voorbeeld waar het engagementbeleid van GREEN zijn vruchten af heeft geworpen is </w:t>
      </w:r>
      <w:proofErr w:type="gramStart"/>
      <w:r w:rsidRPr="00B938E4">
        <w:rPr>
          <w:rFonts w:ascii="Calibri" w:eastAsia="Arial" w:hAnsi="Calibri" w:cs="Calibri"/>
          <w:sz w:val="24"/>
          <w:szCs w:val="24"/>
        </w:rPr>
        <w:t>de engagement</w:t>
      </w:r>
      <w:proofErr w:type="gramEnd"/>
      <w:r w:rsidRPr="00B938E4">
        <w:rPr>
          <w:rFonts w:ascii="Calibri" w:eastAsia="Arial" w:hAnsi="Calibri" w:cs="Calibri"/>
          <w:sz w:val="24"/>
          <w:szCs w:val="24"/>
        </w:rPr>
        <w:t xml:space="preserve"> met de onderneming </w:t>
      </w:r>
      <w:proofErr w:type="spellStart"/>
      <w:r w:rsidRPr="00B938E4">
        <w:rPr>
          <w:rFonts w:ascii="Calibri" w:eastAsia="Arial" w:hAnsi="Calibri" w:cs="Calibri"/>
          <w:sz w:val="24"/>
          <w:szCs w:val="24"/>
        </w:rPr>
        <w:t>Prologis</w:t>
      </w:r>
      <w:proofErr w:type="spellEnd"/>
      <w:r w:rsidRPr="00B938E4">
        <w:rPr>
          <w:rFonts w:ascii="Calibri" w:eastAsia="Arial" w:hAnsi="Calibri" w:cs="Calibri"/>
          <w:sz w:val="24"/>
          <w:szCs w:val="24"/>
        </w:rPr>
        <w:t xml:space="preserve">. In 2022 en 2023 heeft GREEN met </w:t>
      </w:r>
      <w:proofErr w:type="spellStart"/>
      <w:r w:rsidRPr="00B938E4">
        <w:rPr>
          <w:rFonts w:ascii="Calibri" w:eastAsia="Arial" w:hAnsi="Calibri" w:cs="Calibri"/>
          <w:sz w:val="24"/>
          <w:szCs w:val="24"/>
        </w:rPr>
        <w:t>Prologis</w:t>
      </w:r>
      <w:proofErr w:type="spellEnd"/>
      <w:r w:rsidRPr="00B938E4">
        <w:rPr>
          <w:rFonts w:ascii="Calibri" w:eastAsia="Arial" w:hAnsi="Calibri" w:cs="Calibri"/>
          <w:sz w:val="24"/>
          <w:szCs w:val="24"/>
        </w:rPr>
        <w:t xml:space="preserve"> het belang van een carbonemissie-strategie besproken. In 2024 hebben zij dit onderdeel opgenomen in hun duurzaamheidsrapport.</w:t>
      </w:r>
    </w:p>
    <w:p w14:paraId="492D1581" w14:textId="77777777" w:rsidR="00B938E4" w:rsidRDefault="00B938E4" w:rsidP="00B938E4">
      <w:pPr>
        <w:spacing w:after="0" w:line="240" w:lineRule="auto"/>
        <w:rPr>
          <w:rFonts w:ascii="Calibri" w:eastAsia="Arial" w:hAnsi="Calibri" w:cs="Calibri"/>
          <w:sz w:val="24"/>
          <w:szCs w:val="24"/>
        </w:rPr>
      </w:pPr>
    </w:p>
    <w:p w14:paraId="5900CE92" w14:textId="56504D9A" w:rsidR="004E0105" w:rsidRDefault="004E0105" w:rsidP="00B938E4">
      <w:pPr>
        <w:spacing w:after="0" w:line="240" w:lineRule="auto"/>
        <w:rPr>
          <w:rFonts w:ascii="Calibri" w:eastAsia="Arial" w:hAnsi="Calibri" w:cs="Calibri"/>
          <w:sz w:val="24"/>
          <w:szCs w:val="24"/>
        </w:rPr>
      </w:pPr>
      <w:r>
        <w:rPr>
          <w:rFonts w:ascii="Calibri" w:eastAsia="Arial" w:hAnsi="Calibri" w:cs="Calibri"/>
          <w:sz w:val="24"/>
          <w:szCs w:val="24"/>
        </w:rPr>
        <w:t>GREEN maakt van de gesprekken een scorebord, waarbij ze de ondernemingen op 50 punten langs de meetlat leggen</w:t>
      </w:r>
      <w:r w:rsidR="00B20C8D">
        <w:rPr>
          <w:rFonts w:ascii="Calibri" w:eastAsia="Arial" w:hAnsi="Calibri" w:cs="Calibri"/>
          <w:sz w:val="24"/>
          <w:szCs w:val="24"/>
        </w:rPr>
        <w:t>. Zo kan gekeken worden hoe de vastgoedportefeuille van</w:t>
      </w:r>
      <w:r>
        <w:rPr>
          <w:rFonts w:ascii="Calibri" w:eastAsia="Arial" w:hAnsi="Calibri" w:cs="Calibri"/>
          <w:sz w:val="24"/>
          <w:szCs w:val="24"/>
        </w:rPr>
        <w:t xml:space="preserve"> pensioenfonds TNO</w:t>
      </w:r>
      <w:r w:rsidR="00B20C8D">
        <w:rPr>
          <w:rFonts w:ascii="Calibri" w:eastAsia="Arial" w:hAnsi="Calibri" w:cs="Calibri"/>
          <w:sz w:val="24"/>
          <w:szCs w:val="24"/>
        </w:rPr>
        <w:t xml:space="preserve"> door de tijd heen scoort</w:t>
      </w:r>
      <w:r>
        <w:rPr>
          <w:rFonts w:ascii="Calibri" w:eastAsia="Arial" w:hAnsi="Calibri" w:cs="Calibri"/>
          <w:sz w:val="24"/>
          <w:szCs w:val="24"/>
        </w:rPr>
        <w:t>. Daarnaast kan je de scores vergelijken met de scores van alle fondsen van alle 30 leden.</w:t>
      </w:r>
    </w:p>
    <w:p w14:paraId="7C8613CC" w14:textId="77777777" w:rsidR="004E0105" w:rsidRDefault="004E0105" w:rsidP="00B938E4">
      <w:pPr>
        <w:spacing w:after="0" w:line="240" w:lineRule="auto"/>
        <w:rPr>
          <w:rFonts w:ascii="Calibri" w:eastAsia="Arial" w:hAnsi="Calibri" w:cs="Calibri"/>
          <w:sz w:val="24"/>
          <w:szCs w:val="24"/>
        </w:rPr>
      </w:pPr>
    </w:p>
    <w:p w14:paraId="4A259927" w14:textId="2EF19FDF" w:rsidR="004E0105" w:rsidRPr="00B938E4" w:rsidRDefault="004E0105" w:rsidP="00B938E4">
      <w:pPr>
        <w:spacing w:after="0" w:line="240" w:lineRule="auto"/>
        <w:rPr>
          <w:rFonts w:ascii="Calibri" w:eastAsia="Arial" w:hAnsi="Calibri" w:cs="Calibri"/>
          <w:sz w:val="24"/>
          <w:szCs w:val="24"/>
        </w:rPr>
      </w:pPr>
      <w:r>
        <w:rPr>
          <w:rFonts w:ascii="Calibri" w:eastAsia="Arial" w:hAnsi="Calibri" w:cs="Calibri"/>
          <w:sz w:val="24"/>
          <w:szCs w:val="24"/>
        </w:rPr>
        <w:t>In figuur 1 zien we dat de scores van de ondernemingen waarin het pensioenfonds TNO belegt, sinds 2022 verbeterd zijn, met name op het gebied van de implementatie van klimaatbeleid en ook de score op openbaar maken van klimaat risico, die van 4,0 naar 5,7 is gegaan.</w:t>
      </w:r>
    </w:p>
    <w:p w14:paraId="74FBF412" w14:textId="77777777" w:rsidR="001A25DA" w:rsidRDefault="001A25DA" w:rsidP="002B6B0C">
      <w:pPr>
        <w:spacing w:after="0" w:line="240" w:lineRule="auto"/>
        <w:rPr>
          <w:rFonts w:ascii="Calibri" w:eastAsia="Arial" w:hAnsi="Calibri" w:cs="Calibri"/>
          <w:sz w:val="24"/>
          <w:szCs w:val="24"/>
        </w:rPr>
      </w:pPr>
    </w:p>
    <w:p w14:paraId="4C72A781" w14:textId="5C1869F1" w:rsidR="001A25DA" w:rsidRPr="00E22CF6" w:rsidRDefault="004E0105" w:rsidP="002B6B0C">
      <w:pPr>
        <w:spacing w:after="0" w:line="240" w:lineRule="auto"/>
        <w:rPr>
          <w:rFonts w:ascii="Calibri" w:eastAsia="Arial" w:hAnsi="Calibri" w:cs="Calibri"/>
          <w:b/>
          <w:bCs/>
          <w:sz w:val="24"/>
          <w:szCs w:val="24"/>
          <w:lang w:val="en-US"/>
        </w:rPr>
      </w:pPr>
      <w:proofErr w:type="spellStart"/>
      <w:r w:rsidRPr="00E22CF6">
        <w:rPr>
          <w:rFonts w:ascii="Calibri" w:eastAsia="Arial" w:hAnsi="Calibri" w:cs="Calibri"/>
          <w:b/>
          <w:bCs/>
          <w:sz w:val="24"/>
          <w:szCs w:val="24"/>
          <w:lang w:val="en-US"/>
        </w:rPr>
        <w:t>Figuur</w:t>
      </w:r>
      <w:proofErr w:type="spellEnd"/>
      <w:r w:rsidRPr="00E22CF6">
        <w:rPr>
          <w:rFonts w:ascii="Calibri" w:eastAsia="Arial" w:hAnsi="Calibri" w:cs="Calibri"/>
          <w:b/>
          <w:bCs/>
          <w:sz w:val="24"/>
          <w:szCs w:val="24"/>
          <w:lang w:val="en-US"/>
        </w:rPr>
        <w:t xml:space="preserve"> 1: </w:t>
      </w:r>
      <w:proofErr w:type="spellStart"/>
      <w:r w:rsidRPr="00E22CF6">
        <w:rPr>
          <w:rFonts w:ascii="Calibri" w:eastAsia="Arial" w:hAnsi="Calibri" w:cs="Calibri"/>
          <w:b/>
          <w:bCs/>
          <w:sz w:val="24"/>
          <w:szCs w:val="24"/>
          <w:lang w:val="en-US"/>
        </w:rPr>
        <w:t>dashboardscore</w:t>
      </w:r>
      <w:proofErr w:type="spellEnd"/>
      <w:r w:rsidRPr="00E22CF6">
        <w:rPr>
          <w:rFonts w:ascii="Calibri" w:eastAsia="Arial" w:hAnsi="Calibri" w:cs="Calibri"/>
          <w:b/>
          <w:bCs/>
          <w:sz w:val="24"/>
          <w:szCs w:val="24"/>
          <w:lang w:val="en-US"/>
        </w:rPr>
        <w:t xml:space="preserve"> </w:t>
      </w:r>
      <w:proofErr w:type="spellStart"/>
      <w:r w:rsidRPr="00E22CF6">
        <w:rPr>
          <w:rFonts w:ascii="Calibri" w:eastAsia="Arial" w:hAnsi="Calibri" w:cs="Calibri"/>
          <w:b/>
          <w:bCs/>
          <w:sz w:val="24"/>
          <w:szCs w:val="24"/>
          <w:lang w:val="en-US"/>
        </w:rPr>
        <w:t>pensioenfonds</w:t>
      </w:r>
      <w:proofErr w:type="spellEnd"/>
      <w:r w:rsidRPr="00E22CF6">
        <w:rPr>
          <w:rFonts w:ascii="Calibri" w:eastAsia="Arial" w:hAnsi="Calibri" w:cs="Calibri"/>
          <w:b/>
          <w:bCs/>
          <w:sz w:val="24"/>
          <w:szCs w:val="24"/>
          <w:lang w:val="en-US"/>
        </w:rPr>
        <w:t xml:space="preserve"> TNO in 2022 - 2024</w:t>
      </w:r>
    </w:p>
    <w:p w14:paraId="13F86ECF" w14:textId="7F1B4748" w:rsidR="001A25DA" w:rsidRDefault="004E0105" w:rsidP="002B6B0C">
      <w:pPr>
        <w:spacing w:after="0" w:line="240" w:lineRule="auto"/>
        <w:rPr>
          <w:rFonts w:ascii="Calibri" w:eastAsia="Arial" w:hAnsi="Calibri" w:cs="Calibri"/>
          <w:sz w:val="24"/>
          <w:szCs w:val="24"/>
        </w:rPr>
      </w:pPr>
      <w:r>
        <w:rPr>
          <w:rFonts w:ascii="Calibri" w:eastAsia="Arial" w:hAnsi="Calibri" w:cs="Calibri"/>
          <w:noProof/>
          <w:sz w:val="24"/>
          <w:szCs w:val="24"/>
        </w:rPr>
        <w:drawing>
          <wp:inline distT="0" distB="0" distL="0" distR="0" wp14:anchorId="3A4630E6" wp14:editId="122A6FA1">
            <wp:extent cx="5038440" cy="2162755"/>
            <wp:effectExtent l="0" t="0" r="0" b="9525"/>
            <wp:docPr id="1143259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51347" cy="2168295"/>
                    </a:xfrm>
                    <a:prstGeom prst="rect">
                      <a:avLst/>
                    </a:prstGeom>
                    <a:noFill/>
                  </pic:spPr>
                </pic:pic>
              </a:graphicData>
            </a:graphic>
          </wp:inline>
        </w:drawing>
      </w:r>
    </w:p>
    <w:p w14:paraId="48605427" w14:textId="77777777" w:rsidR="004E0105" w:rsidRDefault="004E0105" w:rsidP="002B6B0C">
      <w:pPr>
        <w:spacing w:after="0" w:line="240" w:lineRule="auto"/>
        <w:rPr>
          <w:rFonts w:eastAsia="Times New Roman" w:cstheme="minorHAnsi"/>
          <w:bCs/>
          <w:kern w:val="0"/>
          <w:sz w:val="24"/>
          <w:szCs w:val="24"/>
          <w:lang w:eastAsia="nl-NL"/>
          <w14:ligatures w14:val="none"/>
        </w:rPr>
      </w:pPr>
    </w:p>
    <w:p w14:paraId="53D00912" w14:textId="77777777" w:rsidR="004E0105" w:rsidRDefault="004E0105" w:rsidP="002B6B0C">
      <w:pPr>
        <w:spacing w:after="0" w:line="240" w:lineRule="auto"/>
        <w:rPr>
          <w:rFonts w:eastAsia="Times New Roman" w:cstheme="minorHAnsi"/>
          <w:bCs/>
          <w:kern w:val="0"/>
          <w:sz w:val="24"/>
          <w:szCs w:val="24"/>
          <w:lang w:eastAsia="nl-NL"/>
          <w14:ligatures w14:val="none"/>
        </w:rPr>
      </w:pPr>
    </w:p>
    <w:p w14:paraId="760B8318" w14:textId="4F47BBAB" w:rsidR="004E0105" w:rsidRDefault="004E0105" w:rsidP="002B6B0C">
      <w:pPr>
        <w:spacing w:after="0" w:line="240" w:lineRule="auto"/>
        <w:rPr>
          <w:rFonts w:eastAsia="Times New Roman" w:cstheme="minorHAnsi"/>
          <w:bCs/>
          <w:kern w:val="0"/>
          <w:sz w:val="24"/>
          <w:szCs w:val="24"/>
          <w:lang w:eastAsia="nl-NL"/>
          <w14:ligatures w14:val="none"/>
        </w:rPr>
      </w:pPr>
      <w:r>
        <w:rPr>
          <w:rFonts w:eastAsia="Times New Roman" w:cstheme="minorHAnsi"/>
          <w:bCs/>
          <w:kern w:val="0"/>
          <w:sz w:val="24"/>
          <w:szCs w:val="24"/>
          <w:lang w:eastAsia="nl-NL"/>
          <w14:ligatures w14:val="none"/>
        </w:rPr>
        <w:t xml:space="preserve">Vergelijken we de scores van Pensioenfonds TNO met het hele universum, dan zien we dat ons pensioenfonds op drie onderdelen beter scoort (Targets, </w:t>
      </w:r>
      <w:proofErr w:type="spellStart"/>
      <w:r>
        <w:rPr>
          <w:rFonts w:eastAsia="Times New Roman" w:cstheme="minorHAnsi"/>
          <w:bCs/>
          <w:kern w:val="0"/>
          <w:sz w:val="24"/>
          <w:szCs w:val="24"/>
          <w:lang w:eastAsia="nl-NL"/>
          <w14:ligatures w14:val="none"/>
        </w:rPr>
        <w:t>Implementation</w:t>
      </w:r>
      <w:proofErr w:type="spellEnd"/>
      <w:r>
        <w:rPr>
          <w:rFonts w:eastAsia="Times New Roman" w:cstheme="minorHAnsi"/>
          <w:bCs/>
          <w:kern w:val="0"/>
          <w:sz w:val="24"/>
          <w:szCs w:val="24"/>
          <w:lang w:eastAsia="nl-NL"/>
          <w14:ligatures w14:val="none"/>
        </w:rPr>
        <w:t xml:space="preserve"> en </w:t>
      </w:r>
      <w:proofErr w:type="spellStart"/>
      <w:r>
        <w:rPr>
          <w:rFonts w:eastAsia="Times New Roman" w:cstheme="minorHAnsi"/>
          <w:bCs/>
          <w:kern w:val="0"/>
          <w:sz w:val="24"/>
          <w:szCs w:val="24"/>
          <w:lang w:eastAsia="nl-NL"/>
          <w14:ligatures w14:val="none"/>
        </w:rPr>
        <w:t>Climate</w:t>
      </w:r>
      <w:proofErr w:type="spellEnd"/>
      <w:r>
        <w:rPr>
          <w:rFonts w:eastAsia="Times New Roman" w:cstheme="minorHAnsi"/>
          <w:bCs/>
          <w:kern w:val="0"/>
          <w:sz w:val="24"/>
          <w:szCs w:val="24"/>
          <w:lang w:eastAsia="nl-NL"/>
          <w14:ligatures w14:val="none"/>
        </w:rPr>
        <w:t xml:space="preserve"> Risk </w:t>
      </w:r>
      <w:proofErr w:type="spellStart"/>
      <w:r>
        <w:rPr>
          <w:rFonts w:eastAsia="Times New Roman" w:cstheme="minorHAnsi"/>
          <w:bCs/>
          <w:kern w:val="0"/>
          <w:sz w:val="24"/>
          <w:szCs w:val="24"/>
          <w:lang w:eastAsia="nl-NL"/>
          <w14:ligatures w14:val="none"/>
        </w:rPr>
        <w:t>disclosure</w:t>
      </w:r>
      <w:proofErr w:type="spellEnd"/>
      <w:r>
        <w:rPr>
          <w:rFonts w:eastAsia="Times New Roman" w:cstheme="minorHAnsi"/>
          <w:bCs/>
          <w:kern w:val="0"/>
          <w:sz w:val="24"/>
          <w:szCs w:val="24"/>
          <w:lang w:eastAsia="nl-NL"/>
          <w14:ligatures w14:val="none"/>
        </w:rPr>
        <w:t>) en op een onderdeel iets lager.</w:t>
      </w:r>
    </w:p>
    <w:p w14:paraId="3EE39B0D" w14:textId="77777777" w:rsidR="004E0105" w:rsidRDefault="004E0105" w:rsidP="002B6B0C">
      <w:pPr>
        <w:spacing w:after="0" w:line="240" w:lineRule="auto"/>
        <w:rPr>
          <w:rFonts w:eastAsia="Times New Roman" w:cstheme="minorHAnsi"/>
          <w:bCs/>
          <w:kern w:val="0"/>
          <w:sz w:val="24"/>
          <w:szCs w:val="24"/>
          <w:lang w:eastAsia="nl-NL"/>
          <w14:ligatures w14:val="none"/>
        </w:rPr>
      </w:pPr>
    </w:p>
    <w:p w14:paraId="03CB3FBC" w14:textId="6F937CA3" w:rsidR="001A25DA" w:rsidRDefault="004E0105" w:rsidP="002B6B0C">
      <w:pPr>
        <w:spacing w:after="0" w:line="240" w:lineRule="auto"/>
        <w:rPr>
          <w:rFonts w:eastAsia="Times New Roman" w:cstheme="minorHAnsi"/>
          <w:bCs/>
          <w:kern w:val="0"/>
          <w:sz w:val="24"/>
          <w:szCs w:val="24"/>
          <w:lang w:eastAsia="nl-NL"/>
          <w14:ligatures w14:val="none"/>
        </w:rPr>
      </w:pPr>
      <w:r w:rsidRPr="004E0105">
        <w:rPr>
          <w:rFonts w:eastAsia="Times New Roman" w:cstheme="minorHAnsi"/>
          <w:b/>
          <w:kern w:val="0"/>
          <w:sz w:val="24"/>
          <w:szCs w:val="24"/>
          <w:lang w:eastAsia="nl-NL"/>
          <w14:ligatures w14:val="none"/>
        </w:rPr>
        <w:t>Figuur 2: dashboardscores universum in 2022 - 2024</w:t>
      </w:r>
      <w:r>
        <w:rPr>
          <w:rFonts w:eastAsia="Times New Roman" w:cstheme="minorHAnsi"/>
          <w:bCs/>
          <w:noProof/>
          <w:kern w:val="0"/>
          <w:sz w:val="24"/>
          <w:szCs w:val="24"/>
          <w:lang w:eastAsia="nl-NL"/>
          <w14:ligatures w14:val="none"/>
        </w:rPr>
        <w:drawing>
          <wp:inline distT="0" distB="0" distL="0" distR="0" wp14:anchorId="08BB6AE3" wp14:editId="1E53897F">
            <wp:extent cx="5279390" cy="1676400"/>
            <wp:effectExtent l="0" t="0" r="0" b="0"/>
            <wp:docPr id="10338025" name="Picture 3" descr="A graph of a graph of a graph of a graph of a graph of a graph of a graph of a graph of a graph of a graph of a graph of a graph of a graph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025" name="Picture 3" descr="A graph of a graph of a graph of a graph of a graph of a graph of a graph of a graph of a graph of a graph of a graph of a graph of a graph of&#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9390" cy="1676400"/>
                    </a:xfrm>
                    <a:prstGeom prst="rect">
                      <a:avLst/>
                    </a:prstGeom>
                    <a:noFill/>
                  </pic:spPr>
                </pic:pic>
              </a:graphicData>
            </a:graphic>
          </wp:inline>
        </w:drawing>
      </w:r>
    </w:p>
    <w:p w14:paraId="05AF2178" w14:textId="77777777" w:rsidR="004E0105" w:rsidRDefault="004E0105" w:rsidP="002B6B0C">
      <w:pPr>
        <w:spacing w:after="0" w:line="240" w:lineRule="auto"/>
        <w:rPr>
          <w:rFonts w:eastAsia="Times New Roman" w:cstheme="minorHAnsi"/>
          <w:bCs/>
          <w:kern w:val="0"/>
          <w:sz w:val="24"/>
          <w:szCs w:val="24"/>
          <w:lang w:eastAsia="nl-NL"/>
          <w14:ligatures w14:val="none"/>
        </w:rPr>
      </w:pPr>
    </w:p>
    <w:p w14:paraId="64046099" w14:textId="77777777" w:rsidR="004E0105" w:rsidRDefault="004E0105" w:rsidP="002B6B0C">
      <w:pPr>
        <w:spacing w:after="0" w:line="240" w:lineRule="auto"/>
        <w:rPr>
          <w:rFonts w:eastAsia="Times New Roman" w:cstheme="minorHAnsi"/>
          <w:bCs/>
          <w:kern w:val="0"/>
          <w:sz w:val="24"/>
          <w:szCs w:val="24"/>
          <w:lang w:eastAsia="nl-NL"/>
          <w14:ligatures w14:val="none"/>
        </w:rPr>
      </w:pPr>
    </w:p>
    <w:p w14:paraId="3648B0F3" w14:textId="15710632" w:rsidR="004E0105" w:rsidRDefault="004E0105" w:rsidP="004E0105">
      <w:pPr>
        <w:autoSpaceDE w:val="0"/>
        <w:autoSpaceDN w:val="0"/>
        <w:adjustRightInd w:val="0"/>
        <w:rPr>
          <w:rFonts w:eastAsia="Calibri" w:cstheme="minorHAnsi"/>
          <w:sz w:val="24"/>
          <w:szCs w:val="24"/>
        </w:rPr>
      </w:pPr>
      <w:r w:rsidRPr="007548B3">
        <w:rPr>
          <w:rFonts w:eastAsia="Calibri" w:cstheme="minorHAnsi"/>
          <w:sz w:val="24"/>
          <w:szCs w:val="24"/>
        </w:rPr>
        <w:t xml:space="preserve">Uit </w:t>
      </w:r>
      <w:r>
        <w:rPr>
          <w:rFonts w:eastAsia="Calibri" w:cstheme="minorHAnsi"/>
          <w:sz w:val="24"/>
          <w:szCs w:val="24"/>
        </w:rPr>
        <w:t>de cijfers</w:t>
      </w:r>
      <w:r w:rsidRPr="007548B3">
        <w:rPr>
          <w:rFonts w:eastAsia="Calibri" w:cstheme="minorHAnsi"/>
          <w:sz w:val="24"/>
          <w:szCs w:val="24"/>
        </w:rPr>
        <w:t xml:space="preserve"> </w:t>
      </w:r>
      <w:r>
        <w:rPr>
          <w:rFonts w:eastAsia="Calibri" w:cstheme="minorHAnsi"/>
          <w:sz w:val="24"/>
          <w:szCs w:val="24"/>
        </w:rPr>
        <w:t xml:space="preserve">in het </w:t>
      </w:r>
      <w:r w:rsidRPr="007548B3">
        <w:rPr>
          <w:rFonts w:eastAsia="Calibri" w:cstheme="minorHAnsi"/>
          <w:sz w:val="24"/>
          <w:szCs w:val="24"/>
        </w:rPr>
        <w:t xml:space="preserve">dashboard </w:t>
      </w:r>
      <w:r>
        <w:rPr>
          <w:rFonts w:eastAsia="Calibri" w:cstheme="minorHAnsi"/>
          <w:sz w:val="24"/>
          <w:szCs w:val="24"/>
        </w:rPr>
        <w:t xml:space="preserve">en de bevindingen blijkt dat de vastgoedbeleggingen van Pensioenfonds TNO gemiddeld genomen verbeterd zijn op de thema’s die GREEN onderzoekt. </w:t>
      </w:r>
      <w:r w:rsidR="00C67867">
        <w:rPr>
          <w:rFonts w:eastAsia="Calibri" w:cstheme="minorHAnsi"/>
          <w:sz w:val="24"/>
          <w:szCs w:val="24"/>
        </w:rPr>
        <w:t>De engagement</w:t>
      </w:r>
      <w:r>
        <w:rPr>
          <w:rFonts w:eastAsia="Calibri" w:cstheme="minorHAnsi"/>
          <w:sz w:val="24"/>
          <w:szCs w:val="24"/>
        </w:rPr>
        <w:t xml:space="preserve"> werpt daarmee zijn vruchten af, ook al gaan de ontwikkelingen misschien niet altijd heel snel. We blijven participeren in het GREEN programma voor de monitoring van de vastgoedmanagers op ESG-gebied.</w:t>
      </w:r>
    </w:p>
    <w:p w14:paraId="2A6D21B3" w14:textId="77777777" w:rsidR="00AA6A94" w:rsidRDefault="00AA6A94" w:rsidP="002B6B0C">
      <w:pPr>
        <w:spacing w:after="0" w:line="240" w:lineRule="auto"/>
        <w:rPr>
          <w:rFonts w:eastAsia="Times New Roman" w:cstheme="minorHAnsi"/>
          <w:bCs/>
          <w:kern w:val="0"/>
          <w:sz w:val="24"/>
          <w:szCs w:val="24"/>
          <w:lang w:eastAsia="nl-NL"/>
          <w14:ligatures w14:val="none"/>
        </w:rPr>
      </w:pPr>
    </w:p>
    <w:sectPr w:rsidR="00AA6A94" w:rsidSect="00C23926">
      <w:headerReference w:type="default" r:id="rId27"/>
      <w:footerReference w:type="default" r:id="rId2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219A" w14:textId="77777777" w:rsidR="00FF14ED" w:rsidRDefault="00FF14ED" w:rsidP="009A1580">
      <w:pPr>
        <w:spacing w:after="0" w:line="240" w:lineRule="auto"/>
      </w:pPr>
      <w:r>
        <w:separator/>
      </w:r>
    </w:p>
  </w:endnote>
  <w:endnote w:type="continuationSeparator" w:id="0">
    <w:p w14:paraId="010548AE" w14:textId="77777777" w:rsidR="00FF14ED" w:rsidRDefault="00FF14ED" w:rsidP="009A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129013"/>
      <w:docPartObj>
        <w:docPartGallery w:val="Page Numbers (Bottom of Page)"/>
        <w:docPartUnique/>
      </w:docPartObj>
    </w:sdtPr>
    <w:sdtEndPr/>
    <w:sdtContent>
      <w:p w14:paraId="25C7BBD4" w14:textId="382EC77E" w:rsidR="009A1580" w:rsidRDefault="009A1580">
        <w:pPr>
          <w:pStyle w:val="Footer"/>
          <w:jc w:val="right"/>
        </w:pPr>
        <w:r>
          <w:fldChar w:fldCharType="begin"/>
        </w:r>
        <w:r>
          <w:instrText>PAGE   \* MERGEFORMAT</w:instrText>
        </w:r>
        <w:r>
          <w:fldChar w:fldCharType="separate"/>
        </w:r>
        <w:r>
          <w:t>2</w:t>
        </w:r>
        <w:r>
          <w:fldChar w:fldCharType="end"/>
        </w:r>
      </w:p>
    </w:sdtContent>
  </w:sdt>
  <w:p w14:paraId="745AF8FB" w14:textId="77777777" w:rsidR="009A1580" w:rsidRDefault="009A1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0E19" w14:textId="77777777" w:rsidR="00FF14ED" w:rsidRDefault="00FF14ED" w:rsidP="009A1580">
      <w:pPr>
        <w:spacing w:after="0" w:line="240" w:lineRule="auto"/>
      </w:pPr>
      <w:r>
        <w:separator/>
      </w:r>
    </w:p>
  </w:footnote>
  <w:footnote w:type="continuationSeparator" w:id="0">
    <w:p w14:paraId="120479FD" w14:textId="77777777" w:rsidR="00FF14ED" w:rsidRDefault="00FF14ED" w:rsidP="009A1580">
      <w:pPr>
        <w:spacing w:after="0" w:line="240" w:lineRule="auto"/>
      </w:pPr>
      <w:r>
        <w:continuationSeparator/>
      </w:r>
    </w:p>
  </w:footnote>
  <w:footnote w:id="1">
    <w:p w14:paraId="62FFF576" w14:textId="5D4C1B8E" w:rsidR="004B2351" w:rsidRPr="00773573" w:rsidRDefault="004B2351" w:rsidP="004B2351">
      <w:pPr>
        <w:spacing w:after="0"/>
        <w:contextualSpacing/>
        <w:rPr>
          <w:rFonts w:eastAsia="Times New Roman" w:cs="Times New Roman"/>
          <w:sz w:val="20"/>
          <w:szCs w:val="20"/>
          <w:lang w:val="en-US" w:eastAsia="nl-NL"/>
        </w:rPr>
      </w:pPr>
      <w:r>
        <w:rPr>
          <w:rStyle w:val="FootnoteReference"/>
        </w:rPr>
        <w:footnoteRef/>
      </w:r>
      <w:r w:rsidRPr="006A4660">
        <w:rPr>
          <w:lang w:val="en-US"/>
        </w:rPr>
        <w:t xml:space="preserve">  </w:t>
      </w:r>
      <w:proofErr w:type="spellStart"/>
      <w:r w:rsidRPr="00773573">
        <w:rPr>
          <w:sz w:val="20"/>
          <w:szCs w:val="20"/>
          <w:lang w:val="en-US"/>
        </w:rPr>
        <w:t>Volgens</w:t>
      </w:r>
      <w:proofErr w:type="spellEnd"/>
      <w:r w:rsidRPr="00773573">
        <w:rPr>
          <w:sz w:val="20"/>
          <w:szCs w:val="20"/>
          <w:lang w:val="en-US"/>
        </w:rPr>
        <w:t xml:space="preserve"> de </w:t>
      </w:r>
      <w:proofErr w:type="spellStart"/>
      <w:r w:rsidRPr="00773573">
        <w:rPr>
          <w:sz w:val="20"/>
          <w:szCs w:val="20"/>
          <w:lang w:val="en-US"/>
        </w:rPr>
        <w:t>definitie</w:t>
      </w:r>
      <w:proofErr w:type="spellEnd"/>
      <w:r w:rsidRPr="00773573">
        <w:rPr>
          <w:sz w:val="20"/>
          <w:szCs w:val="20"/>
          <w:lang w:val="en-US"/>
        </w:rPr>
        <w:t xml:space="preserve"> van het GIIN (Global Impact Investing Network </w:t>
      </w:r>
      <w:r w:rsidRPr="00773573">
        <w:rPr>
          <w:rFonts w:eastAsia="Times New Roman" w:cs="Times New Roman"/>
          <w:sz w:val="20"/>
          <w:szCs w:val="20"/>
          <w:lang w:val="en-US" w:eastAsia="nl-NL"/>
        </w:rPr>
        <w:t>Impact</w:t>
      </w:r>
      <w:r>
        <w:rPr>
          <w:rFonts w:eastAsia="Times New Roman" w:cs="Times New Roman"/>
          <w:sz w:val="20"/>
          <w:szCs w:val="20"/>
          <w:lang w:val="en-US" w:eastAsia="nl-NL"/>
        </w:rPr>
        <w:t>):</w:t>
      </w:r>
      <w:r w:rsidRPr="00773573">
        <w:rPr>
          <w:rFonts w:eastAsia="Times New Roman" w:cs="Times New Roman"/>
          <w:sz w:val="20"/>
          <w:szCs w:val="20"/>
          <w:lang w:val="en-US" w:eastAsia="nl-NL"/>
        </w:rPr>
        <w:t xml:space="preserve"> investments are investments made with the intention to generate positive, measurable social or environmental impact alongside a financial return.</w:t>
      </w:r>
    </w:p>
    <w:p w14:paraId="1078A642" w14:textId="77777777" w:rsidR="004B2351" w:rsidRPr="006A4660" w:rsidRDefault="004B2351" w:rsidP="004B2351">
      <w:pPr>
        <w:pStyle w:val="FootnoteText"/>
        <w:rPr>
          <w:lang w:val="en-US"/>
        </w:rPr>
      </w:pPr>
    </w:p>
  </w:footnote>
  <w:footnote w:id="2">
    <w:p w14:paraId="07FB3C21" w14:textId="77777777" w:rsidR="004B2351" w:rsidRPr="004B2351" w:rsidRDefault="004B2351" w:rsidP="004B2351">
      <w:pPr>
        <w:pStyle w:val="FootnoteText"/>
        <w:rPr>
          <w:rFonts w:ascii="Times New Roman" w:hAnsi="Times New Roman" w:cs="Times New Roman"/>
          <w:lang w:val="en-US"/>
        </w:rPr>
      </w:pPr>
      <w:r w:rsidRPr="004E7D52">
        <w:rPr>
          <w:rStyle w:val="FootnoteReference"/>
          <w:rFonts w:ascii="Times New Roman" w:hAnsi="Times New Roman" w:cs="Times New Roman"/>
        </w:rPr>
        <w:footnoteRef/>
      </w:r>
      <w:r w:rsidRPr="004B2351">
        <w:rPr>
          <w:rFonts w:ascii="Times New Roman" w:hAnsi="Times New Roman" w:cs="Times New Roman"/>
          <w:lang w:val="en-US"/>
        </w:rPr>
        <w:t xml:space="preserve"> </w:t>
      </w:r>
      <w:hyperlink r:id="rId1" w:history="1">
        <w:r w:rsidRPr="004B2351">
          <w:rPr>
            <w:rStyle w:val="Hyperlink"/>
            <w:rFonts w:ascii="Times New Roman" w:hAnsi="Times New Roman" w:cs="Times New Roman"/>
            <w:lang w:val="en-US"/>
          </w:rPr>
          <w:t>https://www.icmagroup.org/sustainable-finance/the-principles-guidelines-and-handbooks/green-bond-principles-gbp/</w:t>
        </w:r>
      </w:hyperlink>
    </w:p>
  </w:footnote>
  <w:footnote w:id="3">
    <w:p w14:paraId="54E8FC08" w14:textId="40FAF7F7" w:rsidR="00BC4ADC" w:rsidRPr="00C05B2E" w:rsidRDefault="00BC4ADC">
      <w:pPr>
        <w:pStyle w:val="FootnoteText"/>
        <w:rPr>
          <w:rFonts w:cstheme="minorHAnsi"/>
        </w:rPr>
      </w:pPr>
      <w:r>
        <w:rPr>
          <w:rStyle w:val="FootnoteReference"/>
        </w:rPr>
        <w:footnoteRef/>
      </w:r>
      <w:r>
        <w:t xml:space="preserve"> </w:t>
      </w:r>
      <w:r w:rsidRPr="00C05B2E">
        <w:rPr>
          <w:rFonts w:cstheme="minorHAnsi"/>
        </w:rPr>
        <w:t xml:space="preserve">Scope 1: de directe </w:t>
      </w:r>
      <w:r w:rsidR="00646E15" w:rsidRPr="00C05B2E">
        <w:rPr>
          <w:rFonts w:cstheme="minorHAnsi"/>
        </w:rPr>
        <w:t>CO</w:t>
      </w:r>
      <w:r w:rsidR="00646E15" w:rsidRPr="00C05B2E">
        <w:rPr>
          <w:rFonts w:cstheme="minorHAnsi"/>
          <w:vertAlign w:val="subscript"/>
        </w:rPr>
        <w:t>2</w:t>
      </w:r>
      <w:r w:rsidR="00FA0A9E" w:rsidRPr="00C05B2E">
        <w:rPr>
          <w:rFonts w:cstheme="minorHAnsi"/>
          <w:vertAlign w:val="subscript"/>
        </w:rPr>
        <w:t>-</w:t>
      </w:r>
      <w:r w:rsidR="00646E15" w:rsidRPr="00C05B2E">
        <w:rPr>
          <w:rFonts w:cstheme="minorHAnsi"/>
          <w:vertAlign w:val="subscript"/>
        </w:rPr>
        <w:t xml:space="preserve"> </w:t>
      </w:r>
      <w:r w:rsidRPr="00C05B2E">
        <w:rPr>
          <w:rFonts w:cstheme="minorHAnsi"/>
        </w:rPr>
        <w:t xml:space="preserve">uitstoot </w:t>
      </w:r>
      <w:r w:rsidR="00646E15" w:rsidRPr="00C05B2E">
        <w:rPr>
          <w:rFonts w:cstheme="minorHAnsi"/>
        </w:rPr>
        <w:t xml:space="preserve">veroorzaakt door eigen installaties binnen een organisatie; bv. </w:t>
      </w:r>
      <w:r w:rsidR="00646E15" w:rsidRPr="00C05B2E">
        <w:rPr>
          <w:rFonts w:cstheme="minorHAnsi"/>
          <w:u w:val="single"/>
        </w:rPr>
        <w:t xml:space="preserve">eigen gasverbruik en </w:t>
      </w:r>
      <w:r w:rsidR="00FA0A9E" w:rsidRPr="00C05B2E">
        <w:rPr>
          <w:rFonts w:cstheme="minorHAnsi"/>
          <w:u w:val="single"/>
        </w:rPr>
        <w:t xml:space="preserve">eigen </w:t>
      </w:r>
      <w:r w:rsidR="00646E15" w:rsidRPr="00C05B2E">
        <w:rPr>
          <w:rFonts w:cstheme="minorHAnsi"/>
          <w:u w:val="single"/>
        </w:rPr>
        <w:t>brandstofverbruik</w:t>
      </w:r>
      <w:r w:rsidRPr="00C05B2E">
        <w:rPr>
          <w:rFonts w:cstheme="minorHAnsi"/>
        </w:rPr>
        <w:t xml:space="preserve">. </w:t>
      </w:r>
    </w:p>
  </w:footnote>
  <w:footnote w:id="4">
    <w:p w14:paraId="4A9A20C8" w14:textId="7C4DA7F5" w:rsidR="00BC4ADC" w:rsidRPr="00C05B2E" w:rsidRDefault="00BC4ADC">
      <w:pPr>
        <w:pStyle w:val="FootnoteText"/>
        <w:rPr>
          <w:rFonts w:cstheme="minorHAnsi"/>
        </w:rPr>
      </w:pPr>
      <w:r w:rsidRPr="00C05B2E">
        <w:rPr>
          <w:rStyle w:val="FootnoteReference"/>
          <w:rFonts w:cstheme="minorHAnsi"/>
        </w:rPr>
        <w:footnoteRef/>
      </w:r>
      <w:r w:rsidRPr="00C05B2E">
        <w:rPr>
          <w:rFonts w:cstheme="minorHAnsi"/>
        </w:rPr>
        <w:t xml:space="preserve"> Scope 2: de indirecte CO</w:t>
      </w:r>
      <w:r w:rsidR="00646E15" w:rsidRPr="00C05B2E">
        <w:rPr>
          <w:rFonts w:cstheme="minorHAnsi"/>
          <w:vertAlign w:val="subscript"/>
        </w:rPr>
        <w:t>2</w:t>
      </w:r>
      <w:r w:rsidRPr="00C05B2E">
        <w:rPr>
          <w:rFonts w:cstheme="minorHAnsi"/>
        </w:rPr>
        <w:t xml:space="preserve">-uitstoot van een bedrijf door opwekking van </w:t>
      </w:r>
      <w:r w:rsidRPr="00C05B2E">
        <w:rPr>
          <w:rFonts w:cstheme="minorHAnsi"/>
          <w:u w:val="single"/>
        </w:rPr>
        <w:t>ingekochte en verbruikte elektriciteit- of warmte</w:t>
      </w:r>
      <w:r w:rsidRPr="00C05B2E">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A49F" w14:textId="3C90E8D0" w:rsidR="00D31C3F" w:rsidRDefault="00D31C3F">
    <w:pPr>
      <w:pStyle w:val="Header"/>
    </w:pPr>
    <w:r>
      <w:tab/>
    </w:r>
    <w:r>
      <w:tab/>
    </w:r>
    <w:r>
      <w:tab/>
    </w:r>
    <w:r>
      <w:tab/>
    </w:r>
    <w:hyperlink r:id="rId1" w:tooltip="&quot;Pensioenfonds TNO&quot; " w:history="1">
      <w:r>
        <w:rPr>
          <w:rFonts w:ascii="Times New Roman" w:eastAsia="Times New Roman" w:hAnsi="Times New Roman" w:cs="Times New Roman"/>
          <w:b/>
          <w:i/>
          <w:iCs/>
          <w:noProof/>
          <w:kern w:val="0"/>
          <w:sz w:val="28"/>
          <w:szCs w:val="24"/>
          <w:lang w:eastAsia="nl-NL"/>
          <w14:ligatures w14:val="none"/>
        </w:rPr>
        <w:fldChar w:fldCharType="begin"/>
      </w:r>
      <w:r>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Pr>
          <w:rFonts w:ascii="Times New Roman" w:eastAsia="Times New Roman" w:hAnsi="Times New Roman" w:cs="Times New Roman"/>
          <w:b/>
          <w:i/>
          <w:iCs/>
          <w:noProof/>
          <w:kern w:val="0"/>
          <w:sz w:val="28"/>
          <w:szCs w:val="24"/>
          <w:lang w:eastAsia="nl-NL"/>
          <w14:ligatures w14:val="none"/>
        </w:rPr>
        <w:fldChar w:fldCharType="separate"/>
      </w:r>
      <w:r>
        <w:rPr>
          <w:rFonts w:ascii="Times New Roman" w:eastAsia="Times New Roman" w:hAnsi="Times New Roman" w:cs="Times New Roman"/>
          <w:b/>
          <w:i/>
          <w:iCs/>
          <w:noProof/>
          <w:kern w:val="0"/>
          <w:sz w:val="28"/>
          <w:szCs w:val="24"/>
          <w:lang w:eastAsia="nl-NL"/>
          <w14:ligatures w14:val="none"/>
        </w:rPr>
        <w:fldChar w:fldCharType="begin"/>
      </w:r>
      <w:r>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Pr>
          <w:rFonts w:ascii="Times New Roman" w:eastAsia="Times New Roman" w:hAnsi="Times New Roman" w:cs="Times New Roman"/>
          <w:b/>
          <w:i/>
          <w:iCs/>
          <w:noProof/>
          <w:kern w:val="0"/>
          <w:sz w:val="28"/>
          <w:szCs w:val="24"/>
          <w:lang w:eastAsia="nl-NL"/>
          <w14:ligatures w14:val="none"/>
        </w:rPr>
        <w:fldChar w:fldCharType="separate"/>
      </w:r>
      <w:r>
        <w:rPr>
          <w:rFonts w:ascii="Times New Roman" w:eastAsia="Times New Roman" w:hAnsi="Times New Roman" w:cs="Times New Roman"/>
          <w:b/>
          <w:i/>
          <w:iCs/>
          <w:noProof/>
          <w:kern w:val="0"/>
          <w:sz w:val="28"/>
          <w:szCs w:val="24"/>
          <w:lang w:eastAsia="nl-NL"/>
          <w14:ligatures w14:val="none"/>
        </w:rPr>
        <w:fldChar w:fldCharType="begin"/>
      </w:r>
      <w:r>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Pr>
          <w:rFonts w:ascii="Times New Roman" w:eastAsia="Times New Roman" w:hAnsi="Times New Roman" w:cs="Times New Roman"/>
          <w:b/>
          <w:i/>
          <w:iCs/>
          <w:noProof/>
          <w:kern w:val="0"/>
          <w:sz w:val="28"/>
          <w:szCs w:val="24"/>
          <w:lang w:eastAsia="nl-NL"/>
          <w14:ligatures w14:val="none"/>
        </w:rPr>
        <w:fldChar w:fldCharType="separate"/>
      </w:r>
      <w:r>
        <w:rPr>
          <w:rFonts w:ascii="Times New Roman" w:eastAsia="Times New Roman" w:hAnsi="Times New Roman" w:cs="Times New Roman"/>
          <w:b/>
          <w:i/>
          <w:iCs/>
          <w:noProof/>
          <w:kern w:val="0"/>
          <w:sz w:val="28"/>
          <w:szCs w:val="24"/>
          <w:lang w:eastAsia="nl-NL"/>
          <w14:ligatures w14:val="none"/>
        </w:rPr>
        <w:fldChar w:fldCharType="begin"/>
      </w:r>
      <w:r>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Pr>
          <w:rFonts w:ascii="Times New Roman" w:eastAsia="Times New Roman" w:hAnsi="Times New Roman" w:cs="Times New Roman"/>
          <w:b/>
          <w:i/>
          <w:iCs/>
          <w:noProof/>
          <w:kern w:val="0"/>
          <w:sz w:val="28"/>
          <w:szCs w:val="24"/>
          <w:lang w:eastAsia="nl-NL"/>
          <w14:ligatures w14:val="none"/>
        </w:rPr>
        <w:fldChar w:fldCharType="separate"/>
      </w:r>
      <w:r>
        <w:rPr>
          <w:rFonts w:ascii="Times New Roman" w:eastAsia="Times New Roman" w:hAnsi="Times New Roman" w:cs="Times New Roman"/>
          <w:b/>
          <w:i/>
          <w:iCs/>
          <w:noProof/>
          <w:kern w:val="0"/>
          <w:sz w:val="28"/>
          <w:szCs w:val="24"/>
          <w:lang w:eastAsia="nl-NL"/>
          <w14:ligatures w14:val="none"/>
        </w:rPr>
        <w:fldChar w:fldCharType="begin"/>
      </w:r>
      <w:r>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Pr>
          <w:rFonts w:ascii="Times New Roman" w:eastAsia="Times New Roman" w:hAnsi="Times New Roman" w:cs="Times New Roman"/>
          <w:b/>
          <w:i/>
          <w:iCs/>
          <w:noProof/>
          <w:kern w:val="0"/>
          <w:sz w:val="28"/>
          <w:szCs w:val="24"/>
          <w:lang w:eastAsia="nl-NL"/>
          <w14:ligatures w14:val="none"/>
        </w:rPr>
        <w:fldChar w:fldCharType="separate"/>
      </w:r>
      <w:r w:rsidR="0012038B">
        <w:rPr>
          <w:rFonts w:ascii="Times New Roman" w:eastAsia="Times New Roman" w:hAnsi="Times New Roman" w:cs="Times New Roman"/>
          <w:b/>
          <w:i/>
          <w:iCs/>
          <w:noProof/>
          <w:kern w:val="0"/>
          <w:sz w:val="28"/>
          <w:szCs w:val="24"/>
          <w:lang w:eastAsia="nl-NL"/>
          <w14:ligatures w14:val="none"/>
        </w:rPr>
        <w:fldChar w:fldCharType="begin"/>
      </w:r>
      <w:r w:rsidR="0012038B">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12038B">
        <w:rPr>
          <w:rFonts w:ascii="Times New Roman" w:eastAsia="Times New Roman" w:hAnsi="Times New Roman" w:cs="Times New Roman"/>
          <w:b/>
          <w:i/>
          <w:iCs/>
          <w:noProof/>
          <w:kern w:val="0"/>
          <w:sz w:val="28"/>
          <w:szCs w:val="24"/>
          <w:lang w:eastAsia="nl-NL"/>
          <w14:ligatures w14:val="none"/>
        </w:rPr>
        <w:fldChar w:fldCharType="separate"/>
      </w:r>
      <w:r w:rsidR="00337924">
        <w:rPr>
          <w:rFonts w:ascii="Times New Roman" w:eastAsia="Times New Roman" w:hAnsi="Times New Roman" w:cs="Times New Roman"/>
          <w:b/>
          <w:i/>
          <w:iCs/>
          <w:noProof/>
          <w:kern w:val="0"/>
          <w:sz w:val="28"/>
          <w:szCs w:val="24"/>
          <w:lang w:eastAsia="nl-NL"/>
          <w14:ligatures w14:val="none"/>
        </w:rPr>
        <w:fldChar w:fldCharType="begin"/>
      </w:r>
      <w:r w:rsidR="00337924">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337924">
        <w:rPr>
          <w:rFonts w:ascii="Times New Roman" w:eastAsia="Times New Roman" w:hAnsi="Times New Roman" w:cs="Times New Roman"/>
          <w:b/>
          <w:i/>
          <w:iCs/>
          <w:noProof/>
          <w:kern w:val="0"/>
          <w:sz w:val="28"/>
          <w:szCs w:val="24"/>
          <w:lang w:eastAsia="nl-NL"/>
          <w14:ligatures w14:val="none"/>
        </w:rPr>
        <w:fldChar w:fldCharType="separate"/>
      </w:r>
      <w:r w:rsidR="00B70E98">
        <w:rPr>
          <w:rFonts w:ascii="Times New Roman" w:eastAsia="Times New Roman" w:hAnsi="Times New Roman" w:cs="Times New Roman"/>
          <w:b/>
          <w:i/>
          <w:iCs/>
          <w:noProof/>
          <w:kern w:val="0"/>
          <w:sz w:val="28"/>
          <w:szCs w:val="24"/>
          <w:lang w:eastAsia="nl-NL"/>
          <w14:ligatures w14:val="none"/>
        </w:rPr>
        <w:fldChar w:fldCharType="begin"/>
      </w:r>
      <w:r w:rsidR="00B70E98">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B70E98">
        <w:rPr>
          <w:rFonts w:ascii="Times New Roman" w:eastAsia="Times New Roman" w:hAnsi="Times New Roman" w:cs="Times New Roman"/>
          <w:b/>
          <w:i/>
          <w:iCs/>
          <w:noProof/>
          <w:kern w:val="0"/>
          <w:sz w:val="28"/>
          <w:szCs w:val="24"/>
          <w:lang w:eastAsia="nl-NL"/>
          <w14:ligatures w14:val="none"/>
        </w:rPr>
        <w:fldChar w:fldCharType="separate"/>
      </w:r>
      <w:r w:rsidR="00684D14">
        <w:rPr>
          <w:rFonts w:ascii="Times New Roman" w:eastAsia="Times New Roman" w:hAnsi="Times New Roman" w:cs="Times New Roman"/>
          <w:b/>
          <w:i/>
          <w:iCs/>
          <w:noProof/>
          <w:kern w:val="0"/>
          <w:sz w:val="28"/>
          <w:szCs w:val="24"/>
          <w:lang w:eastAsia="nl-NL"/>
          <w14:ligatures w14:val="none"/>
        </w:rPr>
        <w:fldChar w:fldCharType="begin"/>
      </w:r>
      <w:r w:rsidR="00684D14">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684D14">
        <w:rPr>
          <w:rFonts w:ascii="Times New Roman" w:eastAsia="Times New Roman" w:hAnsi="Times New Roman" w:cs="Times New Roman"/>
          <w:b/>
          <w:i/>
          <w:iCs/>
          <w:noProof/>
          <w:kern w:val="0"/>
          <w:sz w:val="28"/>
          <w:szCs w:val="24"/>
          <w:lang w:eastAsia="nl-NL"/>
          <w14:ligatures w14:val="none"/>
        </w:rPr>
        <w:fldChar w:fldCharType="separate"/>
      </w:r>
      <w:r w:rsidR="009F03A2">
        <w:rPr>
          <w:rFonts w:ascii="Times New Roman" w:eastAsia="Times New Roman" w:hAnsi="Times New Roman" w:cs="Times New Roman"/>
          <w:b/>
          <w:i/>
          <w:iCs/>
          <w:noProof/>
          <w:kern w:val="0"/>
          <w:sz w:val="28"/>
          <w:szCs w:val="24"/>
          <w:lang w:eastAsia="nl-NL"/>
          <w14:ligatures w14:val="none"/>
        </w:rPr>
        <w:fldChar w:fldCharType="begin"/>
      </w:r>
      <w:r w:rsidR="009F03A2">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9F03A2">
        <w:rPr>
          <w:rFonts w:ascii="Times New Roman" w:eastAsia="Times New Roman" w:hAnsi="Times New Roman" w:cs="Times New Roman"/>
          <w:b/>
          <w:i/>
          <w:iCs/>
          <w:noProof/>
          <w:kern w:val="0"/>
          <w:sz w:val="28"/>
          <w:szCs w:val="24"/>
          <w:lang w:eastAsia="nl-NL"/>
          <w14:ligatures w14:val="none"/>
        </w:rPr>
        <w:fldChar w:fldCharType="separate"/>
      </w:r>
      <w:r w:rsidR="007D6D1D">
        <w:rPr>
          <w:rFonts w:ascii="Times New Roman" w:eastAsia="Times New Roman" w:hAnsi="Times New Roman" w:cs="Times New Roman"/>
          <w:b/>
          <w:i/>
          <w:iCs/>
          <w:noProof/>
          <w:kern w:val="0"/>
          <w:sz w:val="28"/>
          <w:szCs w:val="24"/>
          <w:lang w:eastAsia="nl-NL"/>
          <w14:ligatures w14:val="none"/>
        </w:rPr>
        <w:fldChar w:fldCharType="begin"/>
      </w:r>
      <w:r w:rsidR="007D6D1D">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7D6D1D">
        <w:rPr>
          <w:rFonts w:ascii="Times New Roman" w:eastAsia="Times New Roman" w:hAnsi="Times New Roman" w:cs="Times New Roman"/>
          <w:b/>
          <w:i/>
          <w:iCs/>
          <w:noProof/>
          <w:kern w:val="0"/>
          <w:sz w:val="28"/>
          <w:szCs w:val="24"/>
          <w:lang w:eastAsia="nl-NL"/>
          <w14:ligatures w14:val="none"/>
        </w:rPr>
        <w:fldChar w:fldCharType="separate"/>
      </w:r>
      <w:r w:rsidR="0080162E">
        <w:rPr>
          <w:rFonts w:ascii="Times New Roman" w:eastAsia="Times New Roman" w:hAnsi="Times New Roman" w:cs="Times New Roman"/>
          <w:b/>
          <w:i/>
          <w:iCs/>
          <w:noProof/>
          <w:kern w:val="0"/>
          <w:sz w:val="28"/>
          <w:szCs w:val="24"/>
          <w:lang w:eastAsia="nl-NL"/>
          <w14:ligatures w14:val="none"/>
        </w:rPr>
        <w:fldChar w:fldCharType="begin"/>
      </w:r>
      <w:r w:rsidR="0080162E">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80162E">
        <w:rPr>
          <w:rFonts w:ascii="Times New Roman" w:eastAsia="Times New Roman" w:hAnsi="Times New Roman" w:cs="Times New Roman"/>
          <w:b/>
          <w:i/>
          <w:iCs/>
          <w:noProof/>
          <w:kern w:val="0"/>
          <w:sz w:val="28"/>
          <w:szCs w:val="24"/>
          <w:lang w:eastAsia="nl-NL"/>
          <w14:ligatures w14:val="none"/>
        </w:rPr>
        <w:fldChar w:fldCharType="separate"/>
      </w:r>
      <w:r w:rsidR="00FF5E99">
        <w:rPr>
          <w:rFonts w:ascii="Times New Roman" w:eastAsia="Times New Roman" w:hAnsi="Times New Roman" w:cs="Times New Roman"/>
          <w:b/>
          <w:i/>
          <w:iCs/>
          <w:noProof/>
          <w:kern w:val="0"/>
          <w:sz w:val="28"/>
          <w:szCs w:val="24"/>
          <w:lang w:eastAsia="nl-NL"/>
          <w14:ligatures w14:val="none"/>
        </w:rPr>
        <w:fldChar w:fldCharType="begin"/>
      </w:r>
      <w:r w:rsidR="00FF5E99">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FF5E99">
        <w:rPr>
          <w:rFonts w:ascii="Times New Roman" w:eastAsia="Times New Roman" w:hAnsi="Times New Roman" w:cs="Times New Roman"/>
          <w:b/>
          <w:i/>
          <w:iCs/>
          <w:noProof/>
          <w:kern w:val="0"/>
          <w:sz w:val="28"/>
          <w:szCs w:val="24"/>
          <w:lang w:eastAsia="nl-NL"/>
          <w14:ligatures w14:val="none"/>
        </w:rPr>
        <w:fldChar w:fldCharType="separate"/>
      </w:r>
      <w:r w:rsidR="00531414">
        <w:rPr>
          <w:rFonts w:ascii="Times New Roman" w:eastAsia="Times New Roman" w:hAnsi="Times New Roman" w:cs="Times New Roman"/>
          <w:b/>
          <w:i/>
          <w:iCs/>
          <w:noProof/>
          <w:kern w:val="0"/>
          <w:sz w:val="28"/>
          <w:szCs w:val="24"/>
          <w:lang w:eastAsia="nl-NL"/>
          <w14:ligatures w14:val="none"/>
        </w:rPr>
        <w:fldChar w:fldCharType="begin"/>
      </w:r>
      <w:r w:rsidR="00531414">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531414">
        <w:rPr>
          <w:rFonts w:ascii="Times New Roman" w:eastAsia="Times New Roman" w:hAnsi="Times New Roman" w:cs="Times New Roman"/>
          <w:b/>
          <w:i/>
          <w:iCs/>
          <w:noProof/>
          <w:kern w:val="0"/>
          <w:sz w:val="28"/>
          <w:szCs w:val="24"/>
          <w:lang w:eastAsia="nl-NL"/>
          <w14:ligatures w14:val="none"/>
        </w:rPr>
        <w:fldChar w:fldCharType="separate"/>
      </w:r>
      <w:r w:rsidR="000A3604">
        <w:rPr>
          <w:rFonts w:ascii="Times New Roman" w:eastAsia="Times New Roman" w:hAnsi="Times New Roman" w:cs="Times New Roman"/>
          <w:b/>
          <w:i/>
          <w:iCs/>
          <w:noProof/>
          <w:kern w:val="0"/>
          <w:sz w:val="28"/>
          <w:szCs w:val="24"/>
          <w:lang w:eastAsia="nl-NL"/>
          <w14:ligatures w14:val="none"/>
        </w:rPr>
        <w:fldChar w:fldCharType="begin"/>
      </w:r>
      <w:r w:rsidR="000A3604">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0A3604">
        <w:rPr>
          <w:rFonts w:ascii="Times New Roman" w:eastAsia="Times New Roman" w:hAnsi="Times New Roman" w:cs="Times New Roman"/>
          <w:b/>
          <w:i/>
          <w:iCs/>
          <w:noProof/>
          <w:kern w:val="0"/>
          <w:sz w:val="28"/>
          <w:szCs w:val="24"/>
          <w:lang w:eastAsia="nl-NL"/>
          <w14:ligatures w14:val="none"/>
        </w:rPr>
        <w:fldChar w:fldCharType="separate"/>
      </w:r>
      <w:r w:rsidR="00887FE6">
        <w:rPr>
          <w:rFonts w:ascii="Times New Roman" w:eastAsia="Times New Roman" w:hAnsi="Times New Roman" w:cs="Times New Roman"/>
          <w:b/>
          <w:i/>
          <w:iCs/>
          <w:noProof/>
          <w:kern w:val="0"/>
          <w:sz w:val="28"/>
          <w:szCs w:val="24"/>
          <w:lang w:eastAsia="nl-NL"/>
          <w14:ligatures w14:val="none"/>
        </w:rPr>
        <w:fldChar w:fldCharType="begin"/>
      </w:r>
      <w:r w:rsidR="00887FE6">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887FE6">
        <w:rPr>
          <w:rFonts w:ascii="Times New Roman" w:eastAsia="Times New Roman" w:hAnsi="Times New Roman" w:cs="Times New Roman"/>
          <w:b/>
          <w:i/>
          <w:iCs/>
          <w:noProof/>
          <w:kern w:val="0"/>
          <w:sz w:val="28"/>
          <w:szCs w:val="24"/>
          <w:lang w:eastAsia="nl-NL"/>
          <w14:ligatures w14:val="none"/>
        </w:rPr>
        <w:fldChar w:fldCharType="separate"/>
      </w:r>
      <w:r w:rsidR="00806273">
        <w:rPr>
          <w:rFonts w:ascii="Times New Roman" w:eastAsia="Times New Roman" w:hAnsi="Times New Roman" w:cs="Times New Roman"/>
          <w:b/>
          <w:i/>
          <w:iCs/>
          <w:noProof/>
          <w:kern w:val="0"/>
          <w:sz w:val="28"/>
          <w:szCs w:val="24"/>
          <w:lang w:eastAsia="nl-NL"/>
          <w14:ligatures w14:val="none"/>
        </w:rPr>
        <w:fldChar w:fldCharType="begin"/>
      </w:r>
      <w:r w:rsidR="00806273">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806273">
        <w:rPr>
          <w:rFonts w:ascii="Times New Roman" w:eastAsia="Times New Roman" w:hAnsi="Times New Roman" w:cs="Times New Roman"/>
          <w:b/>
          <w:i/>
          <w:iCs/>
          <w:noProof/>
          <w:kern w:val="0"/>
          <w:sz w:val="28"/>
          <w:szCs w:val="24"/>
          <w:lang w:eastAsia="nl-NL"/>
          <w14:ligatures w14:val="none"/>
        </w:rPr>
        <w:fldChar w:fldCharType="separate"/>
      </w:r>
      <w:r w:rsidR="00BC0DCB">
        <w:rPr>
          <w:rFonts w:ascii="Times New Roman" w:eastAsia="Times New Roman" w:hAnsi="Times New Roman" w:cs="Times New Roman"/>
          <w:b/>
          <w:i/>
          <w:iCs/>
          <w:noProof/>
          <w:kern w:val="0"/>
          <w:sz w:val="28"/>
          <w:szCs w:val="24"/>
          <w:lang w:eastAsia="nl-NL"/>
          <w14:ligatures w14:val="none"/>
        </w:rPr>
        <w:fldChar w:fldCharType="begin"/>
      </w:r>
      <w:r w:rsidR="00BC0DCB">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BC0DCB">
        <w:rPr>
          <w:rFonts w:ascii="Times New Roman" w:eastAsia="Times New Roman" w:hAnsi="Times New Roman" w:cs="Times New Roman"/>
          <w:b/>
          <w:i/>
          <w:iCs/>
          <w:noProof/>
          <w:kern w:val="0"/>
          <w:sz w:val="28"/>
          <w:szCs w:val="24"/>
          <w:lang w:eastAsia="nl-NL"/>
          <w14:ligatures w14:val="none"/>
        </w:rPr>
        <w:fldChar w:fldCharType="separate"/>
      </w:r>
      <w:r w:rsidR="00A133CD">
        <w:rPr>
          <w:rFonts w:ascii="Times New Roman" w:eastAsia="Times New Roman" w:hAnsi="Times New Roman" w:cs="Times New Roman"/>
          <w:b/>
          <w:i/>
          <w:iCs/>
          <w:noProof/>
          <w:kern w:val="0"/>
          <w:sz w:val="28"/>
          <w:szCs w:val="24"/>
          <w:lang w:eastAsia="nl-NL"/>
          <w14:ligatures w14:val="none"/>
        </w:rPr>
        <w:fldChar w:fldCharType="begin"/>
      </w:r>
      <w:r w:rsidR="00A133CD">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A133CD">
        <w:rPr>
          <w:rFonts w:ascii="Times New Roman" w:eastAsia="Times New Roman" w:hAnsi="Times New Roman" w:cs="Times New Roman"/>
          <w:b/>
          <w:i/>
          <w:iCs/>
          <w:noProof/>
          <w:kern w:val="0"/>
          <w:sz w:val="28"/>
          <w:szCs w:val="24"/>
          <w:lang w:eastAsia="nl-NL"/>
          <w14:ligatures w14:val="none"/>
        </w:rPr>
        <w:fldChar w:fldCharType="separate"/>
      </w:r>
      <w:r w:rsidR="00EA5B6E">
        <w:rPr>
          <w:rFonts w:ascii="Times New Roman" w:eastAsia="Times New Roman" w:hAnsi="Times New Roman" w:cs="Times New Roman"/>
          <w:b/>
          <w:i/>
          <w:iCs/>
          <w:noProof/>
          <w:kern w:val="0"/>
          <w:sz w:val="28"/>
          <w:szCs w:val="24"/>
          <w:lang w:eastAsia="nl-NL"/>
          <w14:ligatures w14:val="none"/>
        </w:rPr>
        <w:fldChar w:fldCharType="begin"/>
      </w:r>
      <w:r w:rsidR="00EA5B6E">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EA5B6E">
        <w:rPr>
          <w:rFonts w:ascii="Times New Roman" w:eastAsia="Times New Roman" w:hAnsi="Times New Roman" w:cs="Times New Roman"/>
          <w:b/>
          <w:i/>
          <w:iCs/>
          <w:noProof/>
          <w:kern w:val="0"/>
          <w:sz w:val="28"/>
          <w:szCs w:val="24"/>
          <w:lang w:eastAsia="nl-NL"/>
          <w14:ligatures w14:val="none"/>
        </w:rPr>
        <w:fldChar w:fldCharType="separate"/>
      </w:r>
      <w:r w:rsidR="007B7184">
        <w:rPr>
          <w:rFonts w:ascii="Times New Roman" w:eastAsia="Times New Roman" w:hAnsi="Times New Roman" w:cs="Times New Roman"/>
          <w:b/>
          <w:i/>
          <w:iCs/>
          <w:noProof/>
          <w:kern w:val="0"/>
          <w:sz w:val="28"/>
          <w:szCs w:val="24"/>
          <w:lang w:eastAsia="nl-NL"/>
          <w14:ligatures w14:val="none"/>
        </w:rPr>
        <w:fldChar w:fldCharType="begin"/>
      </w:r>
      <w:r w:rsidR="007B7184">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7B7184">
        <w:rPr>
          <w:rFonts w:ascii="Times New Roman" w:eastAsia="Times New Roman" w:hAnsi="Times New Roman" w:cs="Times New Roman"/>
          <w:b/>
          <w:i/>
          <w:iCs/>
          <w:noProof/>
          <w:kern w:val="0"/>
          <w:sz w:val="28"/>
          <w:szCs w:val="24"/>
          <w:lang w:eastAsia="nl-NL"/>
          <w14:ligatures w14:val="none"/>
        </w:rPr>
        <w:fldChar w:fldCharType="separate"/>
      </w:r>
      <w:r w:rsidR="007975F9">
        <w:rPr>
          <w:rFonts w:ascii="Times New Roman" w:eastAsia="Times New Roman" w:hAnsi="Times New Roman" w:cs="Times New Roman"/>
          <w:b/>
          <w:i/>
          <w:iCs/>
          <w:noProof/>
          <w:kern w:val="0"/>
          <w:sz w:val="28"/>
          <w:szCs w:val="24"/>
          <w:lang w:eastAsia="nl-NL"/>
          <w14:ligatures w14:val="none"/>
        </w:rPr>
        <w:fldChar w:fldCharType="begin"/>
      </w:r>
      <w:r w:rsidR="007975F9">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7975F9">
        <w:rPr>
          <w:rFonts w:ascii="Times New Roman" w:eastAsia="Times New Roman" w:hAnsi="Times New Roman" w:cs="Times New Roman"/>
          <w:b/>
          <w:i/>
          <w:iCs/>
          <w:noProof/>
          <w:kern w:val="0"/>
          <w:sz w:val="28"/>
          <w:szCs w:val="24"/>
          <w:lang w:eastAsia="nl-NL"/>
          <w14:ligatures w14:val="none"/>
        </w:rPr>
        <w:fldChar w:fldCharType="separate"/>
      </w:r>
      <w:r w:rsidR="003321A5">
        <w:rPr>
          <w:rFonts w:ascii="Times New Roman" w:eastAsia="Times New Roman" w:hAnsi="Times New Roman" w:cs="Times New Roman"/>
          <w:b/>
          <w:i/>
          <w:iCs/>
          <w:noProof/>
          <w:kern w:val="0"/>
          <w:sz w:val="28"/>
          <w:szCs w:val="24"/>
          <w:lang w:eastAsia="nl-NL"/>
          <w14:ligatures w14:val="none"/>
        </w:rPr>
        <w:fldChar w:fldCharType="begin"/>
      </w:r>
      <w:r w:rsidR="003321A5">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3321A5">
        <w:rPr>
          <w:rFonts w:ascii="Times New Roman" w:eastAsia="Times New Roman" w:hAnsi="Times New Roman" w:cs="Times New Roman"/>
          <w:b/>
          <w:i/>
          <w:iCs/>
          <w:noProof/>
          <w:kern w:val="0"/>
          <w:sz w:val="28"/>
          <w:szCs w:val="24"/>
          <w:lang w:eastAsia="nl-NL"/>
          <w14:ligatures w14:val="none"/>
        </w:rPr>
        <w:fldChar w:fldCharType="separate"/>
      </w:r>
      <w:r w:rsidR="002B6B0C">
        <w:rPr>
          <w:rFonts w:ascii="Times New Roman" w:eastAsia="Times New Roman" w:hAnsi="Times New Roman" w:cs="Times New Roman"/>
          <w:b/>
          <w:i/>
          <w:iCs/>
          <w:noProof/>
          <w:kern w:val="0"/>
          <w:sz w:val="28"/>
          <w:szCs w:val="24"/>
          <w:lang w:eastAsia="nl-NL"/>
          <w14:ligatures w14:val="none"/>
        </w:rPr>
        <w:fldChar w:fldCharType="begin"/>
      </w:r>
      <w:r w:rsidR="002B6B0C">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2B6B0C">
        <w:rPr>
          <w:rFonts w:ascii="Times New Roman" w:eastAsia="Times New Roman" w:hAnsi="Times New Roman" w:cs="Times New Roman"/>
          <w:b/>
          <w:i/>
          <w:iCs/>
          <w:noProof/>
          <w:kern w:val="0"/>
          <w:sz w:val="28"/>
          <w:szCs w:val="24"/>
          <w:lang w:eastAsia="nl-NL"/>
          <w14:ligatures w14:val="none"/>
        </w:rPr>
        <w:fldChar w:fldCharType="separate"/>
      </w:r>
      <w:r w:rsidR="003E0888">
        <w:rPr>
          <w:rFonts w:ascii="Times New Roman" w:eastAsia="Times New Roman" w:hAnsi="Times New Roman" w:cs="Times New Roman"/>
          <w:b/>
          <w:i/>
          <w:iCs/>
          <w:noProof/>
          <w:kern w:val="0"/>
          <w:sz w:val="28"/>
          <w:szCs w:val="24"/>
          <w:lang w:eastAsia="nl-NL"/>
          <w14:ligatures w14:val="none"/>
        </w:rPr>
        <w:fldChar w:fldCharType="begin"/>
      </w:r>
      <w:r w:rsidR="003E0888">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3E0888">
        <w:rPr>
          <w:rFonts w:ascii="Times New Roman" w:eastAsia="Times New Roman" w:hAnsi="Times New Roman" w:cs="Times New Roman"/>
          <w:b/>
          <w:i/>
          <w:iCs/>
          <w:noProof/>
          <w:kern w:val="0"/>
          <w:sz w:val="28"/>
          <w:szCs w:val="24"/>
          <w:lang w:eastAsia="nl-NL"/>
          <w14:ligatures w14:val="none"/>
        </w:rPr>
        <w:fldChar w:fldCharType="separate"/>
      </w:r>
      <w:r w:rsidR="00F34A34">
        <w:rPr>
          <w:rFonts w:ascii="Times New Roman" w:eastAsia="Times New Roman" w:hAnsi="Times New Roman" w:cs="Times New Roman"/>
          <w:b/>
          <w:i/>
          <w:iCs/>
          <w:noProof/>
          <w:kern w:val="0"/>
          <w:sz w:val="28"/>
          <w:szCs w:val="24"/>
          <w:lang w:eastAsia="nl-NL"/>
          <w14:ligatures w14:val="none"/>
        </w:rPr>
        <w:fldChar w:fldCharType="begin"/>
      </w:r>
      <w:r w:rsidR="00F34A34">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F34A34">
        <w:rPr>
          <w:rFonts w:ascii="Times New Roman" w:eastAsia="Times New Roman" w:hAnsi="Times New Roman" w:cs="Times New Roman"/>
          <w:b/>
          <w:i/>
          <w:iCs/>
          <w:noProof/>
          <w:kern w:val="0"/>
          <w:sz w:val="28"/>
          <w:szCs w:val="24"/>
          <w:lang w:eastAsia="nl-NL"/>
          <w14:ligatures w14:val="none"/>
        </w:rPr>
        <w:fldChar w:fldCharType="separate"/>
      </w:r>
      <w:r>
        <w:rPr>
          <w:rFonts w:ascii="Times New Roman" w:eastAsia="Times New Roman" w:hAnsi="Times New Roman" w:cs="Times New Roman"/>
          <w:b/>
          <w:i/>
          <w:iCs/>
          <w:noProof/>
          <w:kern w:val="0"/>
          <w:sz w:val="28"/>
          <w:szCs w:val="24"/>
          <w:lang w:eastAsia="nl-NL"/>
          <w14:ligatures w14:val="none"/>
        </w:rPr>
        <w:fldChar w:fldCharType="begin"/>
      </w:r>
      <w:r>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Pr>
          <w:rFonts w:ascii="Times New Roman" w:eastAsia="Times New Roman" w:hAnsi="Times New Roman" w:cs="Times New Roman"/>
          <w:b/>
          <w:i/>
          <w:iCs/>
          <w:noProof/>
          <w:kern w:val="0"/>
          <w:sz w:val="28"/>
          <w:szCs w:val="24"/>
          <w:lang w:eastAsia="nl-NL"/>
          <w14:ligatures w14:val="none"/>
        </w:rPr>
        <w:fldChar w:fldCharType="separate"/>
      </w:r>
      <w:r w:rsidR="004968D8">
        <w:rPr>
          <w:rFonts w:ascii="Times New Roman" w:eastAsia="Times New Roman" w:hAnsi="Times New Roman" w:cs="Times New Roman"/>
          <w:b/>
          <w:i/>
          <w:iCs/>
          <w:noProof/>
          <w:kern w:val="0"/>
          <w:sz w:val="28"/>
          <w:szCs w:val="24"/>
          <w:lang w:eastAsia="nl-NL"/>
          <w14:ligatures w14:val="none"/>
        </w:rPr>
        <w:fldChar w:fldCharType="begin"/>
      </w:r>
      <w:r w:rsidR="004968D8">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4968D8">
        <w:rPr>
          <w:rFonts w:ascii="Times New Roman" w:eastAsia="Times New Roman" w:hAnsi="Times New Roman" w:cs="Times New Roman"/>
          <w:b/>
          <w:i/>
          <w:iCs/>
          <w:noProof/>
          <w:kern w:val="0"/>
          <w:sz w:val="28"/>
          <w:szCs w:val="24"/>
          <w:lang w:eastAsia="nl-NL"/>
          <w14:ligatures w14:val="none"/>
        </w:rPr>
        <w:fldChar w:fldCharType="separate"/>
      </w:r>
      <w:r w:rsidR="00664D5E">
        <w:rPr>
          <w:rFonts w:ascii="Times New Roman" w:eastAsia="Times New Roman" w:hAnsi="Times New Roman" w:cs="Times New Roman"/>
          <w:b/>
          <w:i/>
          <w:iCs/>
          <w:noProof/>
          <w:kern w:val="0"/>
          <w:sz w:val="28"/>
          <w:szCs w:val="24"/>
          <w:lang w:eastAsia="nl-NL"/>
          <w14:ligatures w14:val="none"/>
        </w:rPr>
        <w:fldChar w:fldCharType="begin"/>
      </w:r>
      <w:r w:rsidR="00664D5E">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664D5E">
        <w:rPr>
          <w:rFonts w:ascii="Times New Roman" w:eastAsia="Times New Roman" w:hAnsi="Times New Roman" w:cs="Times New Roman"/>
          <w:b/>
          <w:i/>
          <w:iCs/>
          <w:noProof/>
          <w:kern w:val="0"/>
          <w:sz w:val="28"/>
          <w:szCs w:val="24"/>
          <w:lang w:eastAsia="nl-NL"/>
          <w14:ligatures w14:val="none"/>
        </w:rPr>
        <w:fldChar w:fldCharType="separate"/>
      </w:r>
      <w:r w:rsidR="00B20C8D">
        <w:rPr>
          <w:rFonts w:ascii="Times New Roman" w:eastAsia="Times New Roman" w:hAnsi="Times New Roman" w:cs="Times New Roman"/>
          <w:b/>
          <w:i/>
          <w:iCs/>
          <w:noProof/>
          <w:kern w:val="0"/>
          <w:sz w:val="28"/>
          <w:szCs w:val="24"/>
          <w:lang w:eastAsia="nl-NL"/>
          <w14:ligatures w14:val="none"/>
        </w:rPr>
        <w:fldChar w:fldCharType="begin"/>
      </w:r>
      <w:r w:rsidR="00B20C8D">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B20C8D">
        <w:rPr>
          <w:rFonts w:ascii="Times New Roman" w:eastAsia="Times New Roman" w:hAnsi="Times New Roman" w:cs="Times New Roman"/>
          <w:b/>
          <w:i/>
          <w:iCs/>
          <w:noProof/>
          <w:kern w:val="0"/>
          <w:sz w:val="28"/>
          <w:szCs w:val="24"/>
          <w:lang w:eastAsia="nl-NL"/>
          <w14:ligatures w14:val="none"/>
        </w:rPr>
        <w:fldChar w:fldCharType="separate"/>
      </w:r>
      <w:r w:rsidR="008240F4">
        <w:rPr>
          <w:rFonts w:ascii="Times New Roman" w:eastAsia="Times New Roman" w:hAnsi="Times New Roman" w:cs="Times New Roman"/>
          <w:b/>
          <w:i/>
          <w:iCs/>
          <w:noProof/>
          <w:kern w:val="0"/>
          <w:sz w:val="28"/>
          <w:szCs w:val="24"/>
          <w:lang w:eastAsia="nl-NL"/>
          <w14:ligatures w14:val="none"/>
        </w:rPr>
        <w:fldChar w:fldCharType="begin"/>
      </w:r>
      <w:r w:rsidR="008240F4">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8240F4">
        <w:rPr>
          <w:rFonts w:ascii="Times New Roman" w:eastAsia="Times New Roman" w:hAnsi="Times New Roman" w:cs="Times New Roman"/>
          <w:b/>
          <w:i/>
          <w:iCs/>
          <w:noProof/>
          <w:kern w:val="0"/>
          <w:sz w:val="28"/>
          <w:szCs w:val="24"/>
          <w:lang w:eastAsia="nl-NL"/>
          <w14:ligatures w14:val="none"/>
        </w:rPr>
        <w:fldChar w:fldCharType="separate"/>
      </w:r>
      <w:r w:rsidR="00C80F83">
        <w:rPr>
          <w:rFonts w:ascii="Times New Roman" w:eastAsia="Times New Roman" w:hAnsi="Times New Roman" w:cs="Times New Roman"/>
          <w:b/>
          <w:i/>
          <w:iCs/>
          <w:noProof/>
          <w:kern w:val="0"/>
          <w:sz w:val="28"/>
          <w:szCs w:val="24"/>
          <w:lang w:eastAsia="nl-NL"/>
          <w14:ligatures w14:val="none"/>
        </w:rPr>
        <w:fldChar w:fldCharType="begin"/>
      </w:r>
      <w:r w:rsidR="00C80F83">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C80F83">
        <w:rPr>
          <w:rFonts w:ascii="Times New Roman" w:eastAsia="Times New Roman" w:hAnsi="Times New Roman" w:cs="Times New Roman"/>
          <w:b/>
          <w:i/>
          <w:iCs/>
          <w:noProof/>
          <w:kern w:val="0"/>
          <w:sz w:val="28"/>
          <w:szCs w:val="24"/>
          <w:lang w:eastAsia="nl-NL"/>
          <w14:ligatures w14:val="none"/>
        </w:rPr>
        <w:fldChar w:fldCharType="separate"/>
      </w:r>
      <w:r w:rsidR="007144E2">
        <w:rPr>
          <w:rFonts w:ascii="Times New Roman" w:eastAsia="Times New Roman" w:hAnsi="Times New Roman" w:cs="Times New Roman"/>
          <w:b/>
          <w:i/>
          <w:iCs/>
          <w:noProof/>
          <w:kern w:val="0"/>
          <w:sz w:val="28"/>
          <w:szCs w:val="24"/>
          <w:lang w:eastAsia="nl-NL"/>
          <w14:ligatures w14:val="none"/>
        </w:rPr>
        <w:fldChar w:fldCharType="begin"/>
      </w:r>
      <w:r w:rsidR="007144E2">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7144E2">
        <w:rPr>
          <w:rFonts w:ascii="Times New Roman" w:eastAsia="Times New Roman" w:hAnsi="Times New Roman" w:cs="Times New Roman"/>
          <w:b/>
          <w:i/>
          <w:iCs/>
          <w:noProof/>
          <w:kern w:val="0"/>
          <w:sz w:val="28"/>
          <w:szCs w:val="24"/>
          <w:lang w:eastAsia="nl-NL"/>
          <w14:ligatures w14:val="none"/>
        </w:rPr>
        <w:fldChar w:fldCharType="separate"/>
      </w:r>
      <w:r w:rsidR="00107E40">
        <w:rPr>
          <w:rFonts w:ascii="Times New Roman" w:eastAsia="Times New Roman" w:hAnsi="Times New Roman" w:cs="Times New Roman"/>
          <w:b/>
          <w:i/>
          <w:iCs/>
          <w:noProof/>
          <w:kern w:val="0"/>
          <w:sz w:val="28"/>
          <w:szCs w:val="24"/>
          <w:lang w:eastAsia="nl-NL"/>
          <w14:ligatures w14:val="none"/>
        </w:rPr>
        <w:fldChar w:fldCharType="begin"/>
      </w:r>
      <w:r w:rsidR="00107E40">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107E40">
        <w:rPr>
          <w:rFonts w:ascii="Times New Roman" w:eastAsia="Times New Roman" w:hAnsi="Times New Roman" w:cs="Times New Roman"/>
          <w:b/>
          <w:i/>
          <w:iCs/>
          <w:noProof/>
          <w:kern w:val="0"/>
          <w:sz w:val="28"/>
          <w:szCs w:val="24"/>
          <w:lang w:eastAsia="nl-NL"/>
          <w14:ligatures w14:val="none"/>
        </w:rPr>
        <w:fldChar w:fldCharType="separate"/>
      </w:r>
      <w:r w:rsidR="00FB1CC8">
        <w:rPr>
          <w:rFonts w:ascii="Times New Roman" w:eastAsia="Times New Roman" w:hAnsi="Times New Roman" w:cs="Times New Roman"/>
          <w:b/>
          <w:i/>
          <w:iCs/>
          <w:noProof/>
          <w:kern w:val="0"/>
          <w:sz w:val="28"/>
          <w:szCs w:val="24"/>
          <w:lang w:eastAsia="nl-NL"/>
          <w14:ligatures w14:val="none"/>
        </w:rPr>
        <w:fldChar w:fldCharType="begin"/>
      </w:r>
      <w:r w:rsidR="00FB1CC8">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FB1CC8">
        <w:rPr>
          <w:rFonts w:ascii="Times New Roman" w:eastAsia="Times New Roman" w:hAnsi="Times New Roman" w:cs="Times New Roman"/>
          <w:b/>
          <w:i/>
          <w:iCs/>
          <w:noProof/>
          <w:kern w:val="0"/>
          <w:sz w:val="28"/>
          <w:szCs w:val="24"/>
          <w:lang w:eastAsia="nl-NL"/>
          <w14:ligatures w14:val="none"/>
        </w:rPr>
        <w:fldChar w:fldCharType="separate"/>
      </w:r>
      <w:r w:rsidR="00FB1CC8">
        <w:rPr>
          <w:rFonts w:ascii="Times New Roman" w:eastAsia="Times New Roman" w:hAnsi="Times New Roman" w:cs="Times New Roman"/>
          <w:b/>
          <w:i/>
          <w:iCs/>
          <w:noProof/>
          <w:kern w:val="0"/>
          <w:sz w:val="28"/>
          <w:szCs w:val="24"/>
          <w:lang w:eastAsia="nl-NL"/>
          <w14:ligatures w14:val="none"/>
        </w:rPr>
        <w:fldChar w:fldCharType="begin"/>
      </w:r>
      <w:r w:rsidR="00FB1CC8">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FB1CC8">
        <w:rPr>
          <w:rFonts w:ascii="Times New Roman" w:eastAsia="Times New Roman" w:hAnsi="Times New Roman" w:cs="Times New Roman"/>
          <w:b/>
          <w:i/>
          <w:iCs/>
          <w:noProof/>
          <w:kern w:val="0"/>
          <w:sz w:val="28"/>
          <w:szCs w:val="24"/>
          <w:lang w:eastAsia="nl-NL"/>
          <w14:ligatures w14:val="none"/>
        </w:rPr>
        <w:fldChar w:fldCharType="separate"/>
      </w:r>
      <w:r w:rsidR="00C05B2E">
        <w:rPr>
          <w:rFonts w:ascii="Times New Roman" w:eastAsia="Times New Roman" w:hAnsi="Times New Roman" w:cs="Times New Roman"/>
          <w:b/>
          <w:i/>
          <w:iCs/>
          <w:noProof/>
          <w:kern w:val="0"/>
          <w:sz w:val="28"/>
          <w:szCs w:val="24"/>
          <w:lang w:eastAsia="nl-NL"/>
          <w14:ligatures w14:val="none"/>
        </w:rPr>
        <w:fldChar w:fldCharType="begin"/>
      </w:r>
      <w:r w:rsidR="00C05B2E">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C05B2E">
        <w:rPr>
          <w:rFonts w:ascii="Times New Roman" w:eastAsia="Times New Roman" w:hAnsi="Times New Roman" w:cs="Times New Roman"/>
          <w:b/>
          <w:i/>
          <w:iCs/>
          <w:noProof/>
          <w:kern w:val="0"/>
          <w:sz w:val="28"/>
          <w:szCs w:val="24"/>
          <w:lang w:eastAsia="nl-NL"/>
          <w14:ligatures w14:val="none"/>
        </w:rPr>
        <w:fldChar w:fldCharType="separate"/>
      </w:r>
      <w:r w:rsidR="004E415A">
        <w:rPr>
          <w:rFonts w:ascii="Times New Roman" w:eastAsia="Times New Roman" w:hAnsi="Times New Roman" w:cs="Times New Roman"/>
          <w:b/>
          <w:i/>
          <w:iCs/>
          <w:noProof/>
          <w:kern w:val="0"/>
          <w:sz w:val="28"/>
          <w:szCs w:val="24"/>
          <w:lang w:eastAsia="nl-NL"/>
          <w14:ligatures w14:val="none"/>
        </w:rPr>
        <w:fldChar w:fldCharType="begin"/>
      </w:r>
      <w:r w:rsidR="004E415A">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4E415A">
        <w:rPr>
          <w:rFonts w:ascii="Times New Roman" w:eastAsia="Times New Roman" w:hAnsi="Times New Roman" w:cs="Times New Roman"/>
          <w:b/>
          <w:i/>
          <w:iCs/>
          <w:noProof/>
          <w:kern w:val="0"/>
          <w:sz w:val="28"/>
          <w:szCs w:val="24"/>
          <w:lang w:eastAsia="nl-NL"/>
          <w14:ligatures w14:val="none"/>
        </w:rPr>
        <w:fldChar w:fldCharType="separate"/>
      </w:r>
      <w:r w:rsidR="00B438AA">
        <w:rPr>
          <w:rFonts w:ascii="Times New Roman" w:eastAsia="Times New Roman" w:hAnsi="Times New Roman" w:cs="Times New Roman"/>
          <w:b/>
          <w:i/>
          <w:iCs/>
          <w:noProof/>
          <w:kern w:val="0"/>
          <w:sz w:val="28"/>
          <w:szCs w:val="24"/>
          <w:lang w:eastAsia="nl-NL"/>
          <w14:ligatures w14:val="none"/>
        </w:rPr>
        <w:fldChar w:fldCharType="begin"/>
      </w:r>
      <w:r w:rsidR="00B438AA">
        <w:rPr>
          <w:rFonts w:ascii="Times New Roman" w:eastAsia="Times New Roman" w:hAnsi="Times New Roman" w:cs="Times New Roman"/>
          <w:b/>
          <w:i/>
          <w:iCs/>
          <w:noProof/>
          <w:kern w:val="0"/>
          <w:sz w:val="28"/>
          <w:szCs w:val="24"/>
          <w:lang w:eastAsia="nl-NL"/>
          <w14:ligatures w14:val="none"/>
        </w:rPr>
        <w:instrText xml:space="preserve"> INCLUDEPICTURE  "cid:image001.gif@01CE060E.0D0E68C0" \* MERGEFORMATINET </w:instrText>
      </w:r>
      <w:r w:rsidR="00B438AA">
        <w:rPr>
          <w:rFonts w:ascii="Times New Roman" w:eastAsia="Times New Roman" w:hAnsi="Times New Roman" w:cs="Times New Roman"/>
          <w:b/>
          <w:i/>
          <w:iCs/>
          <w:noProof/>
          <w:kern w:val="0"/>
          <w:sz w:val="28"/>
          <w:szCs w:val="24"/>
          <w:lang w:eastAsia="nl-NL"/>
          <w14:ligatures w14:val="none"/>
        </w:rPr>
        <w:fldChar w:fldCharType="separate"/>
      </w:r>
      <w:r w:rsidR="00FF14ED">
        <w:rPr>
          <w:rFonts w:ascii="Times New Roman" w:eastAsia="Times New Roman" w:hAnsi="Times New Roman" w:cs="Times New Roman"/>
          <w:b/>
          <w:i/>
          <w:iCs/>
          <w:noProof/>
          <w:kern w:val="0"/>
          <w:sz w:val="28"/>
          <w:szCs w:val="24"/>
          <w:lang w:eastAsia="nl-NL"/>
          <w14:ligatures w14:val="none"/>
        </w:rPr>
        <w:fldChar w:fldCharType="begin"/>
      </w:r>
      <w:r w:rsidR="00FF14ED">
        <w:rPr>
          <w:rFonts w:ascii="Times New Roman" w:eastAsia="Times New Roman" w:hAnsi="Times New Roman" w:cs="Times New Roman"/>
          <w:b/>
          <w:i/>
          <w:iCs/>
          <w:noProof/>
          <w:kern w:val="0"/>
          <w:sz w:val="28"/>
          <w:szCs w:val="24"/>
          <w:lang w:eastAsia="nl-NL"/>
          <w14:ligatures w14:val="none"/>
        </w:rPr>
        <w:instrText xml:space="preserve"> </w:instrText>
      </w:r>
      <w:r w:rsidR="00FF14ED">
        <w:rPr>
          <w:rFonts w:ascii="Times New Roman" w:eastAsia="Times New Roman" w:hAnsi="Times New Roman" w:cs="Times New Roman"/>
          <w:b/>
          <w:i/>
          <w:iCs/>
          <w:noProof/>
          <w:kern w:val="0"/>
          <w:sz w:val="28"/>
          <w:szCs w:val="24"/>
          <w:lang w:eastAsia="nl-NL"/>
          <w14:ligatures w14:val="none"/>
        </w:rPr>
        <w:instrText>INCLUDEPICTURE  "cid:image001.gif@01CE060E.0D0E68C0" \* MERGEFORMATINET</w:instrText>
      </w:r>
      <w:r w:rsidR="00FF14ED">
        <w:rPr>
          <w:rFonts w:ascii="Times New Roman" w:eastAsia="Times New Roman" w:hAnsi="Times New Roman" w:cs="Times New Roman"/>
          <w:b/>
          <w:i/>
          <w:iCs/>
          <w:noProof/>
          <w:kern w:val="0"/>
          <w:sz w:val="28"/>
          <w:szCs w:val="24"/>
          <w:lang w:eastAsia="nl-NL"/>
          <w14:ligatures w14:val="none"/>
        </w:rPr>
        <w:instrText xml:space="preserve"> </w:instrText>
      </w:r>
      <w:r w:rsidR="00FF14ED">
        <w:rPr>
          <w:rFonts w:ascii="Times New Roman" w:eastAsia="Times New Roman" w:hAnsi="Times New Roman" w:cs="Times New Roman"/>
          <w:b/>
          <w:i/>
          <w:iCs/>
          <w:noProof/>
          <w:kern w:val="0"/>
          <w:sz w:val="28"/>
          <w:szCs w:val="24"/>
          <w:lang w:eastAsia="nl-NL"/>
          <w14:ligatures w14:val="none"/>
        </w:rPr>
        <w:fldChar w:fldCharType="separate"/>
      </w:r>
      <w:r w:rsidR="00FF14ED">
        <w:rPr>
          <w:rFonts w:ascii="Times New Roman" w:eastAsia="Times New Roman" w:hAnsi="Times New Roman" w:cs="Times New Roman"/>
          <w:b/>
          <w:i/>
          <w:iCs/>
          <w:noProof/>
          <w:kern w:val="0"/>
          <w:sz w:val="28"/>
          <w:szCs w:val="24"/>
          <w:lang w:eastAsia="nl-NL"/>
          <w14:ligatures w14:val="none"/>
        </w:rPr>
        <w:pict w14:anchorId="10057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5pt;height:42.15pt;visibility:visible">
            <v:imagedata r:id="rId2" r:href="rId3"/>
          </v:shape>
        </w:pict>
      </w:r>
      <w:r w:rsidR="00FF14ED">
        <w:rPr>
          <w:rFonts w:ascii="Times New Roman" w:eastAsia="Times New Roman" w:hAnsi="Times New Roman" w:cs="Times New Roman"/>
          <w:b/>
          <w:i/>
          <w:iCs/>
          <w:noProof/>
          <w:kern w:val="0"/>
          <w:sz w:val="28"/>
          <w:szCs w:val="24"/>
          <w:lang w:eastAsia="nl-NL"/>
          <w14:ligatures w14:val="none"/>
        </w:rPr>
        <w:fldChar w:fldCharType="end"/>
      </w:r>
      <w:r w:rsidR="00B438AA">
        <w:rPr>
          <w:rFonts w:ascii="Times New Roman" w:eastAsia="Times New Roman" w:hAnsi="Times New Roman" w:cs="Times New Roman"/>
          <w:b/>
          <w:i/>
          <w:iCs/>
          <w:noProof/>
          <w:kern w:val="0"/>
          <w:sz w:val="28"/>
          <w:szCs w:val="24"/>
          <w:lang w:eastAsia="nl-NL"/>
          <w14:ligatures w14:val="none"/>
        </w:rPr>
        <w:fldChar w:fldCharType="end"/>
      </w:r>
      <w:r w:rsidR="004E415A">
        <w:rPr>
          <w:rFonts w:ascii="Times New Roman" w:eastAsia="Times New Roman" w:hAnsi="Times New Roman" w:cs="Times New Roman"/>
          <w:b/>
          <w:i/>
          <w:iCs/>
          <w:noProof/>
          <w:kern w:val="0"/>
          <w:sz w:val="28"/>
          <w:szCs w:val="24"/>
          <w:lang w:eastAsia="nl-NL"/>
          <w14:ligatures w14:val="none"/>
        </w:rPr>
        <w:fldChar w:fldCharType="end"/>
      </w:r>
      <w:r w:rsidR="00C05B2E">
        <w:rPr>
          <w:rFonts w:ascii="Times New Roman" w:eastAsia="Times New Roman" w:hAnsi="Times New Roman" w:cs="Times New Roman"/>
          <w:b/>
          <w:i/>
          <w:iCs/>
          <w:noProof/>
          <w:kern w:val="0"/>
          <w:sz w:val="28"/>
          <w:szCs w:val="24"/>
          <w:lang w:eastAsia="nl-NL"/>
          <w14:ligatures w14:val="none"/>
        </w:rPr>
        <w:fldChar w:fldCharType="end"/>
      </w:r>
      <w:r w:rsidR="00FB1CC8">
        <w:rPr>
          <w:rFonts w:ascii="Times New Roman" w:eastAsia="Times New Roman" w:hAnsi="Times New Roman" w:cs="Times New Roman"/>
          <w:b/>
          <w:i/>
          <w:iCs/>
          <w:noProof/>
          <w:kern w:val="0"/>
          <w:sz w:val="28"/>
          <w:szCs w:val="24"/>
          <w:lang w:eastAsia="nl-NL"/>
          <w14:ligatures w14:val="none"/>
        </w:rPr>
        <w:fldChar w:fldCharType="end"/>
      </w:r>
      <w:r w:rsidR="00FB1CC8">
        <w:rPr>
          <w:rFonts w:ascii="Times New Roman" w:eastAsia="Times New Roman" w:hAnsi="Times New Roman" w:cs="Times New Roman"/>
          <w:b/>
          <w:i/>
          <w:iCs/>
          <w:noProof/>
          <w:kern w:val="0"/>
          <w:sz w:val="28"/>
          <w:szCs w:val="24"/>
          <w:lang w:eastAsia="nl-NL"/>
          <w14:ligatures w14:val="none"/>
        </w:rPr>
        <w:fldChar w:fldCharType="end"/>
      </w:r>
      <w:r w:rsidR="00107E40">
        <w:rPr>
          <w:rFonts w:ascii="Times New Roman" w:eastAsia="Times New Roman" w:hAnsi="Times New Roman" w:cs="Times New Roman"/>
          <w:b/>
          <w:i/>
          <w:iCs/>
          <w:noProof/>
          <w:kern w:val="0"/>
          <w:sz w:val="28"/>
          <w:szCs w:val="24"/>
          <w:lang w:eastAsia="nl-NL"/>
          <w14:ligatures w14:val="none"/>
        </w:rPr>
        <w:fldChar w:fldCharType="end"/>
      </w:r>
      <w:r w:rsidR="007144E2">
        <w:rPr>
          <w:rFonts w:ascii="Times New Roman" w:eastAsia="Times New Roman" w:hAnsi="Times New Roman" w:cs="Times New Roman"/>
          <w:b/>
          <w:i/>
          <w:iCs/>
          <w:noProof/>
          <w:kern w:val="0"/>
          <w:sz w:val="28"/>
          <w:szCs w:val="24"/>
          <w:lang w:eastAsia="nl-NL"/>
          <w14:ligatures w14:val="none"/>
        </w:rPr>
        <w:fldChar w:fldCharType="end"/>
      </w:r>
      <w:r w:rsidR="00C80F83">
        <w:rPr>
          <w:rFonts w:ascii="Times New Roman" w:eastAsia="Times New Roman" w:hAnsi="Times New Roman" w:cs="Times New Roman"/>
          <w:b/>
          <w:i/>
          <w:iCs/>
          <w:noProof/>
          <w:kern w:val="0"/>
          <w:sz w:val="28"/>
          <w:szCs w:val="24"/>
          <w:lang w:eastAsia="nl-NL"/>
          <w14:ligatures w14:val="none"/>
        </w:rPr>
        <w:fldChar w:fldCharType="end"/>
      </w:r>
      <w:r w:rsidR="008240F4">
        <w:rPr>
          <w:rFonts w:ascii="Times New Roman" w:eastAsia="Times New Roman" w:hAnsi="Times New Roman" w:cs="Times New Roman"/>
          <w:b/>
          <w:i/>
          <w:iCs/>
          <w:noProof/>
          <w:kern w:val="0"/>
          <w:sz w:val="28"/>
          <w:szCs w:val="24"/>
          <w:lang w:eastAsia="nl-NL"/>
          <w14:ligatures w14:val="none"/>
        </w:rPr>
        <w:fldChar w:fldCharType="end"/>
      </w:r>
      <w:r w:rsidR="00B20C8D">
        <w:rPr>
          <w:rFonts w:ascii="Times New Roman" w:eastAsia="Times New Roman" w:hAnsi="Times New Roman" w:cs="Times New Roman"/>
          <w:b/>
          <w:i/>
          <w:iCs/>
          <w:noProof/>
          <w:kern w:val="0"/>
          <w:sz w:val="28"/>
          <w:szCs w:val="24"/>
          <w:lang w:eastAsia="nl-NL"/>
          <w14:ligatures w14:val="none"/>
        </w:rPr>
        <w:fldChar w:fldCharType="end"/>
      </w:r>
      <w:r w:rsidR="00664D5E">
        <w:rPr>
          <w:rFonts w:ascii="Times New Roman" w:eastAsia="Times New Roman" w:hAnsi="Times New Roman" w:cs="Times New Roman"/>
          <w:b/>
          <w:i/>
          <w:iCs/>
          <w:noProof/>
          <w:kern w:val="0"/>
          <w:sz w:val="28"/>
          <w:szCs w:val="24"/>
          <w:lang w:eastAsia="nl-NL"/>
          <w14:ligatures w14:val="none"/>
        </w:rPr>
        <w:fldChar w:fldCharType="end"/>
      </w:r>
      <w:r w:rsidR="004968D8">
        <w:rPr>
          <w:rFonts w:ascii="Times New Roman" w:eastAsia="Times New Roman" w:hAnsi="Times New Roman" w:cs="Times New Roman"/>
          <w:b/>
          <w:i/>
          <w:iCs/>
          <w:noProof/>
          <w:kern w:val="0"/>
          <w:sz w:val="28"/>
          <w:szCs w:val="24"/>
          <w:lang w:eastAsia="nl-NL"/>
          <w14:ligatures w14:val="none"/>
        </w:rPr>
        <w:fldChar w:fldCharType="end"/>
      </w:r>
      <w:r>
        <w:rPr>
          <w:rFonts w:ascii="Times New Roman" w:eastAsia="Times New Roman" w:hAnsi="Times New Roman" w:cs="Times New Roman"/>
          <w:b/>
          <w:i/>
          <w:iCs/>
          <w:noProof/>
          <w:kern w:val="0"/>
          <w:sz w:val="28"/>
          <w:szCs w:val="24"/>
          <w:lang w:eastAsia="nl-NL"/>
          <w14:ligatures w14:val="none"/>
        </w:rPr>
        <w:fldChar w:fldCharType="end"/>
      </w:r>
      <w:r w:rsidR="00F34A34">
        <w:rPr>
          <w:rFonts w:ascii="Times New Roman" w:eastAsia="Times New Roman" w:hAnsi="Times New Roman" w:cs="Times New Roman"/>
          <w:b/>
          <w:i/>
          <w:iCs/>
          <w:noProof/>
          <w:kern w:val="0"/>
          <w:sz w:val="28"/>
          <w:szCs w:val="24"/>
          <w:lang w:eastAsia="nl-NL"/>
          <w14:ligatures w14:val="none"/>
        </w:rPr>
        <w:fldChar w:fldCharType="end"/>
      </w:r>
      <w:r w:rsidR="003E0888">
        <w:rPr>
          <w:rFonts w:ascii="Times New Roman" w:eastAsia="Times New Roman" w:hAnsi="Times New Roman" w:cs="Times New Roman"/>
          <w:b/>
          <w:i/>
          <w:iCs/>
          <w:noProof/>
          <w:kern w:val="0"/>
          <w:sz w:val="28"/>
          <w:szCs w:val="24"/>
          <w:lang w:eastAsia="nl-NL"/>
          <w14:ligatures w14:val="none"/>
        </w:rPr>
        <w:fldChar w:fldCharType="end"/>
      </w:r>
      <w:r w:rsidR="002B6B0C">
        <w:rPr>
          <w:rFonts w:ascii="Times New Roman" w:eastAsia="Times New Roman" w:hAnsi="Times New Roman" w:cs="Times New Roman"/>
          <w:b/>
          <w:i/>
          <w:iCs/>
          <w:noProof/>
          <w:kern w:val="0"/>
          <w:sz w:val="28"/>
          <w:szCs w:val="24"/>
          <w:lang w:eastAsia="nl-NL"/>
          <w14:ligatures w14:val="none"/>
        </w:rPr>
        <w:fldChar w:fldCharType="end"/>
      </w:r>
      <w:r w:rsidR="003321A5">
        <w:rPr>
          <w:rFonts w:ascii="Times New Roman" w:eastAsia="Times New Roman" w:hAnsi="Times New Roman" w:cs="Times New Roman"/>
          <w:b/>
          <w:i/>
          <w:iCs/>
          <w:noProof/>
          <w:kern w:val="0"/>
          <w:sz w:val="28"/>
          <w:szCs w:val="24"/>
          <w:lang w:eastAsia="nl-NL"/>
          <w14:ligatures w14:val="none"/>
        </w:rPr>
        <w:fldChar w:fldCharType="end"/>
      </w:r>
      <w:r w:rsidR="007975F9">
        <w:rPr>
          <w:rFonts w:ascii="Times New Roman" w:eastAsia="Times New Roman" w:hAnsi="Times New Roman" w:cs="Times New Roman"/>
          <w:b/>
          <w:i/>
          <w:iCs/>
          <w:noProof/>
          <w:kern w:val="0"/>
          <w:sz w:val="28"/>
          <w:szCs w:val="24"/>
          <w:lang w:eastAsia="nl-NL"/>
          <w14:ligatures w14:val="none"/>
        </w:rPr>
        <w:fldChar w:fldCharType="end"/>
      </w:r>
      <w:r w:rsidR="007B7184">
        <w:rPr>
          <w:rFonts w:ascii="Times New Roman" w:eastAsia="Times New Roman" w:hAnsi="Times New Roman" w:cs="Times New Roman"/>
          <w:b/>
          <w:i/>
          <w:iCs/>
          <w:noProof/>
          <w:kern w:val="0"/>
          <w:sz w:val="28"/>
          <w:szCs w:val="24"/>
          <w:lang w:eastAsia="nl-NL"/>
          <w14:ligatures w14:val="none"/>
        </w:rPr>
        <w:fldChar w:fldCharType="end"/>
      </w:r>
      <w:r w:rsidR="00EA5B6E">
        <w:rPr>
          <w:rFonts w:ascii="Times New Roman" w:eastAsia="Times New Roman" w:hAnsi="Times New Roman" w:cs="Times New Roman"/>
          <w:b/>
          <w:i/>
          <w:iCs/>
          <w:noProof/>
          <w:kern w:val="0"/>
          <w:sz w:val="28"/>
          <w:szCs w:val="24"/>
          <w:lang w:eastAsia="nl-NL"/>
          <w14:ligatures w14:val="none"/>
        </w:rPr>
        <w:fldChar w:fldCharType="end"/>
      </w:r>
      <w:r w:rsidR="00A133CD">
        <w:rPr>
          <w:rFonts w:ascii="Times New Roman" w:eastAsia="Times New Roman" w:hAnsi="Times New Roman" w:cs="Times New Roman"/>
          <w:b/>
          <w:i/>
          <w:iCs/>
          <w:noProof/>
          <w:kern w:val="0"/>
          <w:sz w:val="28"/>
          <w:szCs w:val="24"/>
          <w:lang w:eastAsia="nl-NL"/>
          <w14:ligatures w14:val="none"/>
        </w:rPr>
        <w:fldChar w:fldCharType="end"/>
      </w:r>
      <w:r w:rsidR="00BC0DCB">
        <w:rPr>
          <w:rFonts w:ascii="Times New Roman" w:eastAsia="Times New Roman" w:hAnsi="Times New Roman" w:cs="Times New Roman"/>
          <w:b/>
          <w:i/>
          <w:iCs/>
          <w:noProof/>
          <w:kern w:val="0"/>
          <w:sz w:val="28"/>
          <w:szCs w:val="24"/>
          <w:lang w:eastAsia="nl-NL"/>
          <w14:ligatures w14:val="none"/>
        </w:rPr>
        <w:fldChar w:fldCharType="end"/>
      </w:r>
      <w:r w:rsidR="00806273">
        <w:rPr>
          <w:rFonts w:ascii="Times New Roman" w:eastAsia="Times New Roman" w:hAnsi="Times New Roman" w:cs="Times New Roman"/>
          <w:b/>
          <w:i/>
          <w:iCs/>
          <w:noProof/>
          <w:kern w:val="0"/>
          <w:sz w:val="28"/>
          <w:szCs w:val="24"/>
          <w:lang w:eastAsia="nl-NL"/>
          <w14:ligatures w14:val="none"/>
        </w:rPr>
        <w:fldChar w:fldCharType="end"/>
      </w:r>
      <w:r w:rsidR="00887FE6">
        <w:rPr>
          <w:rFonts w:ascii="Times New Roman" w:eastAsia="Times New Roman" w:hAnsi="Times New Roman" w:cs="Times New Roman"/>
          <w:b/>
          <w:i/>
          <w:iCs/>
          <w:noProof/>
          <w:kern w:val="0"/>
          <w:sz w:val="28"/>
          <w:szCs w:val="24"/>
          <w:lang w:eastAsia="nl-NL"/>
          <w14:ligatures w14:val="none"/>
        </w:rPr>
        <w:fldChar w:fldCharType="end"/>
      </w:r>
      <w:r w:rsidR="000A3604">
        <w:rPr>
          <w:rFonts w:ascii="Times New Roman" w:eastAsia="Times New Roman" w:hAnsi="Times New Roman" w:cs="Times New Roman"/>
          <w:b/>
          <w:i/>
          <w:iCs/>
          <w:noProof/>
          <w:kern w:val="0"/>
          <w:sz w:val="28"/>
          <w:szCs w:val="24"/>
          <w:lang w:eastAsia="nl-NL"/>
          <w14:ligatures w14:val="none"/>
        </w:rPr>
        <w:fldChar w:fldCharType="end"/>
      </w:r>
      <w:r w:rsidR="00531414">
        <w:rPr>
          <w:rFonts w:ascii="Times New Roman" w:eastAsia="Times New Roman" w:hAnsi="Times New Roman" w:cs="Times New Roman"/>
          <w:b/>
          <w:i/>
          <w:iCs/>
          <w:noProof/>
          <w:kern w:val="0"/>
          <w:sz w:val="28"/>
          <w:szCs w:val="24"/>
          <w:lang w:eastAsia="nl-NL"/>
          <w14:ligatures w14:val="none"/>
        </w:rPr>
        <w:fldChar w:fldCharType="end"/>
      </w:r>
      <w:r w:rsidR="00FF5E99">
        <w:rPr>
          <w:rFonts w:ascii="Times New Roman" w:eastAsia="Times New Roman" w:hAnsi="Times New Roman" w:cs="Times New Roman"/>
          <w:b/>
          <w:i/>
          <w:iCs/>
          <w:noProof/>
          <w:kern w:val="0"/>
          <w:sz w:val="28"/>
          <w:szCs w:val="24"/>
          <w:lang w:eastAsia="nl-NL"/>
          <w14:ligatures w14:val="none"/>
        </w:rPr>
        <w:fldChar w:fldCharType="end"/>
      </w:r>
      <w:r w:rsidR="0080162E">
        <w:rPr>
          <w:rFonts w:ascii="Times New Roman" w:eastAsia="Times New Roman" w:hAnsi="Times New Roman" w:cs="Times New Roman"/>
          <w:b/>
          <w:i/>
          <w:iCs/>
          <w:noProof/>
          <w:kern w:val="0"/>
          <w:sz w:val="28"/>
          <w:szCs w:val="24"/>
          <w:lang w:eastAsia="nl-NL"/>
          <w14:ligatures w14:val="none"/>
        </w:rPr>
        <w:fldChar w:fldCharType="end"/>
      </w:r>
      <w:r w:rsidR="007D6D1D">
        <w:rPr>
          <w:rFonts w:ascii="Times New Roman" w:eastAsia="Times New Roman" w:hAnsi="Times New Roman" w:cs="Times New Roman"/>
          <w:b/>
          <w:i/>
          <w:iCs/>
          <w:noProof/>
          <w:kern w:val="0"/>
          <w:sz w:val="28"/>
          <w:szCs w:val="24"/>
          <w:lang w:eastAsia="nl-NL"/>
          <w14:ligatures w14:val="none"/>
        </w:rPr>
        <w:fldChar w:fldCharType="end"/>
      </w:r>
      <w:r w:rsidR="009F03A2">
        <w:rPr>
          <w:rFonts w:ascii="Times New Roman" w:eastAsia="Times New Roman" w:hAnsi="Times New Roman" w:cs="Times New Roman"/>
          <w:b/>
          <w:i/>
          <w:iCs/>
          <w:noProof/>
          <w:kern w:val="0"/>
          <w:sz w:val="28"/>
          <w:szCs w:val="24"/>
          <w:lang w:eastAsia="nl-NL"/>
          <w14:ligatures w14:val="none"/>
        </w:rPr>
        <w:fldChar w:fldCharType="end"/>
      </w:r>
      <w:r w:rsidR="00684D14">
        <w:rPr>
          <w:rFonts w:ascii="Times New Roman" w:eastAsia="Times New Roman" w:hAnsi="Times New Roman" w:cs="Times New Roman"/>
          <w:b/>
          <w:i/>
          <w:iCs/>
          <w:noProof/>
          <w:kern w:val="0"/>
          <w:sz w:val="28"/>
          <w:szCs w:val="24"/>
          <w:lang w:eastAsia="nl-NL"/>
          <w14:ligatures w14:val="none"/>
        </w:rPr>
        <w:fldChar w:fldCharType="end"/>
      </w:r>
      <w:r w:rsidR="00B70E98">
        <w:rPr>
          <w:rFonts w:ascii="Times New Roman" w:eastAsia="Times New Roman" w:hAnsi="Times New Roman" w:cs="Times New Roman"/>
          <w:b/>
          <w:i/>
          <w:iCs/>
          <w:noProof/>
          <w:kern w:val="0"/>
          <w:sz w:val="28"/>
          <w:szCs w:val="24"/>
          <w:lang w:eastAsia="nl-NL"/>
          <w14:ligatures w14:val="none"/>
        </w:rPr>
        <w:fldChar w:fldCharType="end"/>
      </w:r>
      <w:r w:rsidR="00337924">
        <w:rPr>
          <w:rFonts w:ascii="Times New Roman" w:eastAsia="Times New Roman" w:hAnsi="Times New Roman" w:cs="Times New Roman"/>
          <w:b/>
          <w:i/>
          <w:iCs/>
          <w:noProof/>
          <w:kern w:val="0"/>
          <w:sz w:val="28"/>
          <w:szCs w:val="24"/>
          <w:lang w:eastAsia="nl-NL"/>
          <w14:ligatures w14:val="none"/>
        </w:rPr>
        <w:fldChar w:fldCharType="end"/>
      </w:r>
      <w:r w:rsidR="0012038B">
        <w:rPr>
          <w:rFonts w:ascii="Times New Roman" w:eastAsia="Times New Roman" w:hAnsi="Times New Roman" w:cs="Times New Roman"/>
          <w:b/>
          <w:i/>
          <w:iCs/>
          <w:noProof/>
          <w:kern w:val="0"/>
          <w:sz w:val="28"/>
          <w:szCs w:val="24"/>
          <w:lang w:eastAsia="nl-NL"/>
          <w14:ligatures w14:val="none"/>
        </w:rPr>
        <w:fldChar w:fldCharType="end"/>
      </w:r>
      <w:r>
        <w:rPr>
          <w:rFonts w:ascii="Times New Roman" w:eastAsia="Times New Roman" w:hAnsi="Times New Roman" w:cs="Times New Roman"/>
          <w:b/>
          <w:i/>
          <w:iCs/>
          <w:noProof/>
          <w:kern w:val="0"/>
          <w:sz w:val="28"/>
          <w:szCs w:val="24"/>
          <w:lang w:eastAsia="nl-NL"/>
          <w14:ligatures w14:val="none"/>
        </w:rPr>
        <w:fldChar w:fldCharType="end"/>
      </w:r>
      <w:r>
        <w:rPr>
          <w:rFonts w:ascii="Times New Roman" w:eastAsia="Times New Roman" w:hAnsi="Times New Roman" w:cs="Times New Roman"/>
          <w:b/>
          <w:i/>
          <w:iCs/>
          <w:noProof/>
          <w:kern w:val="0"/>
          <w:sz w:val="28"/>
          <w:szCs w:val="24"/>
          <w:lang w:eastAsia="nl-NL"/>
          <w14:ligatures w14:val="none"/>
        </w:rPr>
        <w:fldChar w:fldCharType="end"/>
      </w:r>
      <w:r>
        <w:rPr>
          <w:rFonts w:ascii="Times New Roman" w:eastAsia="Times New Roman" w:hAnsi="Times New Roman" w:cs="Times New Roman"/>
          <w:b/>
          <w:i/>
          <w:iCs/>
          <w:noProof/>
          <w:kern w:val="0"/>
          <w:sz w:val="28"/>
          <w:szCs w:val="24"/>
          <w:lang w:eastAsia="nl-NL"/>
          <w14:ligatures w14:val="none"/>
        </w:rPr>
        <w:fldChar w:fldCharType="end"/>
      </w:r>
      <w:r>
        <w:rPr>
          <w:rFonts w:ascii="Times New Roman" w:eastAsia="Times New Roman" w:hAnsi="Times New Roman" w:cs="Times New Roman"/>
          <w:b/>
          <w:i/>
          <w:iCs/>
          <w:noProof/>
          <w:kern w:val="0"/>
          <w:sz w:val="28"/>
          <w:szCs w:val="24"/>
          <w:lang w:eastAsia="nl-NL"/>
          <w14:ligatures w14:val="none"/>
        </w:rPr>
        <w:fldChar w:fldCharType="end"/>
      </w:r>
      <w:r>
        <w:rPr>
          <w:rFonts w:ascii="Times New Roman" w:eastAsia="Times New Roman" w:hAnsi="Times New Roman" w:cs="Times New Roman"/>
          <w:b/>
          <w:i/>
          <w:iCs/>
          <w:noProof/>
          <w:kern w:val="0"/>
          <w:sz w:val="28"/>
          <w:szCs w:val="24"/>
          <w:lang w:eastAsia="nl-NL"/>
          <w14:ligatures w14:val="none"/>
        </w:rPr>
        <w:fldChar w:fldCharType="end"/>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356A"/>
    <w:multiLevelType w:val="hybridMultilevel"/>
    <w:tmpl w:val="7ABE3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305381"/>
    <w:multiLevelType w:val="hybridMultilevel"/>
    <w:tmpl w:val="698A29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DE21AA2"/>
    <w:multiLevelType w:val="hybridMultilevel"/>
    <w:tmpl w:val="F364E0F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C292295"/>
    <w:multiLevelType w:val="hybridMultilevel"/>
    <w:tmpl w:val="762CCFC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634793"/>
    <w:multiLevelType w:val="hybridMultilevel"/>
    <w:tmpl w:val="21983E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540F159B"/>
    <w:multiLevelType w:val="hybridMultilevel"/>
    <w:tmpl w:val="D54C4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ED09A9"/>
    <w:multiLevelType w:val="hybridMultilevel"/>
    <w:tmpl w:val="A79EDA4C"/>
    <w:lvl w:ilvl="0" w:tplc="DAE659E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F03A7F"/>
    <w:multiLevelType w:val="hybridMultilevel"/>
    <w:tmpl w:val="A50C5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87454">
    <w:abstractNumId w:val="0"/>
  </w:num>
  <w:num w:numId="2" w16cid:durableId="427428992">
    <w:abstractNumId w:val="3"/>
  </w:num>
  <w:num w:numId="3" w16cid:durableId="1926720121">
    <w:abstractNumId w:val="7"/>
  </w:num>
  <w:num w:numId="4" w16cid:durableId="1789230757">
    <w:abstractNumId w:val="4"/>
  </w:num>
  <w:num w:numId="5" w16cid:durableId="1344357320">
    <w:abstractNumId w:val="1"/>
  </w:num>
  <w:num w:numId="6" w16cid:durableId="1651711419">
    <w:abstractNumId w:val="5"/>
  </w:num>
  <w:num w:numId="7" w16cid:durableId="653025019">
    <w:abstractNumId w:val="6"/>
  </w:num>
  <w:num w:numId="8" w16cid:durableId="349334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5B"/>
    <w:rsid w:val="00001D43"/>
    <w:rsid w:val="0000639E"/>
    <w:rsid w:val="000120C6"/>
    <w:rsid w:val="00034EF2"/>
    <w:rsid w:val="00045574"/>
    <w:rsid w:val="00050BCD"/>
    <w:rsid w:val="00052D85"/>
    <w:rsid w:val="0008113F"/>
    <w:rsid w:val="000830B3"/>
    <w:rsid w:val="000844C7"/>
    <w:rsid w:val="00084534"/>
    <w:rsid w:val="00084718"/>
    <w:rsid w:val="00090E8A"/>
    <w:rsid w:val="00093AC9"/>
    <w:rsid w:val="00095D00"/>
    <w:rsid w:val="000A3604"/>
    <w:rsid w:val="000A60F9"/>
    <w:rsid w:val="000C192F"/>
    <w:rsid w:val="000C3486"/>
    <w:rsid w:val="000C5DD8"/>
    <w:rsid w:val="000D3A42"/>
    <w:rsid w:val="000D40B2"/>
    <w:rsid w:val="000D4E8D"/>
    <w:rsid w:val="000E0B63"/>
    <w:rsid w:val="000E5C61"/>
    <w:rsid w:val="000E6D37"/>
    <w:rsid w:val="000E7A5B"/>
    <w:rsid w:val="000F4F69"/>
    <w:rsid w:val="001012B0"/>
    <w:rsid w:val="00103F65"/>
    <w:rsid w:val="0010445F"/>
    <w:rsid w:val="00107D69"/>
    <w:rsid w:val="00107E40"/>
    <w:rsid w:val="0012038B"/>
    <w:rsid w:val="00133421"/>
    <w:rsid w:val="001410B6"/>
    <w:rsid w:val="001659A0"/>
    <w:rsid w:val="0018564A"/>
    <w:rsid w:val="00191536"/>
    <w:rsid w:val="00192230"/>
    <w:rsid w:val="0019405D"/>
    <w:rsid w:val="001A25DA"/>
    <w:rsid w:val="001A7D76"/>
    <w:rsid w:val="001B285E"/>
    <w:rsid w:val="001B2D9F"/>
    <w:rsid w:val="001B5E67"/>
    <w:rsid w:val="001B6F09"/>
    <w:rsid w:val="001D11D2"/>
    <w:rsid w:val="001D4E29"/>
    <w:rsid w:val="001E07B2"/>
    <w:rsid w:val="001E6DD3"/>
    <w:rsid w:val="001F7B39"/>
    <w:rsid w:val="00205217"/>
    <w:rsid w:val="00207F2C"/>
    <w:rsid w:val="00211DFF"/>
    <w:rsid w:val="00227DC0"/>
    <w:rsid w:val="00235692"/>
    <w:rsid w:val="002436A8"/>
    <w:rsid w:val="00245761"/>
    <w:rsid w:val="00247833"/>
    <w:rsid w:val="00277F57"/>
    <w:rsid w:val="002921F8"/>
    <w:rsid w:val="00297183"/>
    <w:rsid w:val="002A1542"/>
    <w:rsid w:val="002A2A5A"/>
    <w:rsid w:val="002B2CF9"/>
    <w:rsid w:val="002B6B0C"/>
    <w:rsid w:val="002C2E16"/>
    <w:rsid w:val="002C5D4D"/>
    <w:rsid w:val="002C6289"/>
    <w:rsid w:val="002E2CBB"/>
    <w:rsid w:val="002E58A0"/>
    <w:rsid w:val="002E6A79"/>
    <w:rsid w:val="002F35E1"/>
    <w:rsid w:val="00303574"/>
    <w:rsid w:val="00317609"/>
    <w:rsid w:val="00317F5A"/>
    <w:rsid w:val="003321A5"/>
    <w:rsid w:val="00337924"/>
    <w:rsid w:val="0034623C"/>
    <w:rsid w:val="00360069"/>
    <w:rsid w:val="00360C0A"/>
    <w:rsid w:val="00376487"/>
    <w:rsid w:val="00380469"/>
    <w:rsid w:val="00384B8D"/>
    <w:rsid w:val="00387525"/>
    <w:rsid w:val="003A6E3F"/>
    <w:rsid w:val="003C2EAD"/>
    <w:rsid w:val="003C3C1C"/>
    <w:rsid w:val="003C47DC"/>
    <w:rsid w:val="003D23A4"/>
    <w:rsid w:val="003D3CCF"/>
    <w:rsid w:val="003E0888"/>
    <w:rsid w:val="003E1B2A"/>
    <w:rsid w:val="003F183E"/>
    <w:rsid w:val="003F2A3E"/>
    <w:rsid w:val="00401EB6"/>
    <w:rsid w:val="00421B8F"/>
    <w:rsid w:val="00427979"/>
    <w:rsid w:val="00437749"/>
    <w:rsid w:val="00445F4D"/>
    <w:rsid w:val="00477E23"/>
    <w:rsid w:val="0048145D"/>
    <w:rsid w:val="004909EA"/>
    <w:rsid w:val="00495BA5"/>
    <w:rsid w:val="00495BB9"/>
    <w:rsid w:val="004968D8"/>
    <w:rsid w:val="004B2351"/>
    <w:rsid w:val="004C2EDD"/>
    <w:rsid w:val="004D113B"/>
    <w:rsid w:val="004D3FBB"/>
    <w:rsid w:val="004E0105"/>
    <w:rsid w:val="004E3197"/>
    <w:rsid w:val="004E415A"/>
    <w:rsid w:val="004E7D52"/>
    <w:rsid w:val="005127DC"/>
    <w:rsid w:val="00514002"/>
    <w:rsid w:val="00515427"/>
    <w:rsid w:val="00523D66"/>
    <w:rsid w:val="00531414"/>
    <w:rsid w:val="00544B4A"/>
    <w:rsid w:val="00545446"/>
    <w:rsid w:val="00554313"/>
    <w:rsid w:val="00574C1C"/>
    <w:rsid w:val="00577534"/>
    <w:rsid w:val="005A2317"/>
    <w:rsid w:val="005A3EB3"/>
    <w:rsid w:val="005C1FD6"/>
    <w:rsid w:val="005E6D05"/>
    <w:rsid w:val="005F6405"/>
    <w:rsid w:val="006003C7"/>
    <w:rsid w:val="006279BC"/>
    <w:rsid w:val="00632540"/>
    <w:rsid w:val="00636292"/>
    <w:rsid w:val="006431F6"/>
    <w:rsid w:val="006459BC"/>
    <w:rsid w:val="00646487"/>
    <w:rsid w:val="00646E15"/>
    <w:rsid w:val="00664D5E"/>
    <w:rsid w:val="00684D14"/>
    <w:rsid w:val="00690F44"/>
    <w:rsid w:val="006B1A17"/>
    <w:rsid w:val="006C194D"/>
    <w:rsid w:val="006D0640"/>
    <w:rsid w:val="006D115F"/>
    <w:rsid w:val="006E5532"/>
    <w:rsid w:val="006E6FAC"/>
    <w:rsid w:val="006F6779"/>
    <w:rsid w:val="006F71D4"/>
    <w:rsid w:val="00713B90"/>
    <w:rsid w:val="007144E2"/>
    <w:rsid w:val="00717293"/>
    <w:rsid w:val="00730893"/>
    <w:rsid w:val="00735719"/>
    <w:rsid w:val="0075122C"/>
    <w:rsid w:val="00764CAA"/>
    <w:rsid w:val="00764CE9"/>
    <w:rsid w:val="00782063"/>
    <w:rsid w:val="00790456"/>
    <w:rsid w:val="00791FDC"/>
    <w:rsid w:val="007975F9"/>
    <w:rsid w:val="007A36D5"/>
    <w:rsid w:val="007A638E"/>
    <w:rsid w:val="007B20CC"/>
    <w:rsid w:val="007B7184"/>
    <w:rsid w:val="007C152B"/>
    <w:rsid w:val="007C5689"/>
    <w:rsid w:val="007D6D1D"/>
    <w:rsid w:val="007E1F92"/>
    <w:rsid w:val="007F0B22"/>
    <w:rsid w:val="00801481"/>
    <w:rsid w:val="0080162E"/>
    <w:rsid w:val="008037E7"/>
    <w:rsid w:val="00806273"/>
    <w:rsid w:val="00810D07"/>
    <w:rsid w:val="00811F93"/>
    <w:rsid w:val="008240F4"/>
    <w:rsid w:val="00824515"/>
    <w:rsid w:val="008276D3"/>
    <w:rsid w:val="00840A77"/>
    <w:rsid w:val="0084426C"/>
    <w:rsid w:val="00844AA7"/>
    <w:rsid w:val="008505D6"/>
    <w:rsid w:val="008511B2"/>
    <w:rsid w:val="00852506"/>
    <w:rsid w:val="00852BE6"/>
    <w:rsid w:val="008574A3"/>
    <w:rsid w:val="0086397C"/>
    <w:rsid w:val="00873B39"/>
    <w:rsid w:val="00887FE6"/>
    <w:rsid w:val="00893BD9"/>
    <w:rsid w:val="008A1137"/>
    <w:rsid w:val="008A1D94"/>
    <w:rsid w:val="008A7B09"/>
    <w:rsid w:val="008A7FC5"/>
    <w:rsid w:val="008B11B8"/>
    <w:rsid w:val="008B3EE2"/>
    <w:rsid w:val="008E183F"/>
    <w:rsid w:val="008F7F04"/>
    <w:rsid w:val="00902E93"/>
    <w:rsid w:val="0090615F"/>
    <w:rsid w:val="00922DB5"/>
    <w:rsid w:val="009436C6"/>
    <w:rsid w:val="00946501"/>
    <w:rsid w:val="00952BCD"/>
    <w:rsid w:val="0095787E"/>
    <w:rsid w:val="00967C0F"/>
    <w:rsid w:val="00971DD8"/>
    <w:rsid w:val="00981CDE"/>
    <w:rsid w:val="009A1580"/>
    <w:rsid w:val="009A2088"/>
    <w:rsid w:val="009C206B"/>
    <w:rsid w:val="009C2BA4"/>
    <w:rsid w:val="009C5E99"/>
    <w:rsid w:val="009D7BA5"/>
    <w:rsid w:val="009E5DAA"/>
    <w:rsid w:val="009F00D4"/>
    <w:rsid w:val="009F03A2"/>
    <w:rsid w:val="009F53B1"/>
    <w:rsid w:val="009F6A17"/>
    <w:rsid w:val="00A029CE"/>
    <w:rsid w:val="00A02B2F"/>
    <w:rsid w:val="00A06188"/>
    <w:rsid w:val="00A10781"/>
    <w:rsid w:val="00A133CD"/>
    <w:rsid w:val="00A145EB"/>
    <w:rsid w:val="00A2302E"/>
    <w:rsid w:val="00A30A2A"/>
    <w:rsid w:val="00A41F8A"/>
    <w:rsid w:val="00A46B42"/>
    <w:rsid w:val="00A54B1C"/>
    <w:rsid w:val="00A666AF"/>
    <w:rsid w:val="00A67DF1"/>
    <w:rsid w:val="00A756F6"/>
    <w:rsid w:val="00A76ED5"/>
    <w:rsid w:val="00A832A2"/>
    <w:rsid w:val="00AA48A8"/>
    <w:rsid w:val="00AA6A94"/>
    <w:rsid w:val="00AA6FD3"/>
    <w:rsid w:val="00AA7AE2"/>
    <w:rsid w:val="00AB6AE9"/>
    <w:rsid w:val="00AC0F51"/>
    <w:rsid w:val="00AC140F"/>
    <w:rsid w:val="00AC564D"/>
    <w:rsid w:val="00AC70B1"/>
    <w:rsid w:val="00AD75E7"/>
    <w:rsid w:val="00AE59E2"/>
    <w:rsid w:val="00AE60DB"/>
    <w:rsid w:val="00AE7488"/>
    <w:rsid w:val="00AF7444"/>
    <w:rsid w:val="00B023B6"/>
    <w:rsid w:val="00B05094"/>
    <w:rsid w:val="00B10423"/>
    <w:rsid w:val="00B14180"/>
    <w:rsid w:val="00B20C8D"/>
    <w:rsid w:val="00B23632"/>
    <w:rsid w:val="00B438AA"/>
    <w:rsid w:val="00B53D8C"/>
    <w:rsid w:val="00B66D4C"/>
    <w:rsid w:val="00B70E98"/>
    <w:rsid w:val="00B774FD"/>
    <w:rsid w:val="00B775F2"/>
    <w:rsid w:val="00B938E4"/>
    <w:rsid w:val="00BA223B"/>
    <w:rsid w:val="00BA4074"/>
    <w:rsid w:val="00BB077D"/>
    <w:rsid w:val="00BB2AF8"/>
    <w:rsid w:val="00BC0DCB"/>
    <w:rsid w:val="00BC4ADC"/>
    <w:rsid w:val="00BC5651"/>
    <w:rsid w:val="00BC79BE"/>
    <w:rsid w:val="00BD5131"/>
    <w:rsid w:val="00BD59DD"/>
    <w:rsid w:val="00BE722F"/>
    <w:rsid w:val="00BF48E9"/>
    <w:rsid w:val="00C05B2E"/>
    <w:rsid w:val="00C06439"/>
    <w:rsid w:val="00C106D2"/>
    <w:rsid w:val="00C125FA"/>
    <w:rsid w:val="00C1348F"/>
    <w:rsid w:val="00C20E63"/>
    <w:rsid w:val="00C2151A"/>
    <w:rsid w:val="00C221DB"/>
    <w:rsid w:val="00C23926"/>
    <w:rsid w:val="00C248C5"/>
    <w:rsid w:val="00C24A32"/>
    <w:rsid w:val="00C33776"/>
    <w:rsid w:val="00C42687"/>
    <w:rsid w:val="00C44EE4"/>
    <w:rsid w:val="00C44F63"/>
    <w:rsid w:val="00C512D3"/>
    <w:rsid w:val="00C523DD"/>
    <w:rsid w:val="00C67867"/>
    <w:rsid w:val="00C717AA"/>
    <w:rsid w:val="00C80F83"/>
    <w:rsid w:val="00C9017E"/>
    <w:rsid w:val="00C94C04"/>
    <w:rsid w:val="00C97FC2"/>
    <w:rsid w:val="00CB4B78"/>
    <w:rsid w:val="00CC3DE6"/>
    <w:rsid w:val="00CD15FC"/>
    <w:rsid w:val="00CD355C"/>
    <w:rsid w:val="00CE1D91"/>
    <w:rsid w:val="00CE2131"/>
    <w:rsid w:val="00D10665"/>
    <w:rsid w:val="00D11D31"/>
    <w:rsid w:val="00D1382D"/>
    <w:rsid w:val="00D2008B"/>
    <w:rsid w:val="00D20912"/>
    <w:rsid w:val="00D2396E"/>
    <w:rsid w:val="00D25130"/>
    <w:rsid w:val="00D258F4"/>
    <w:rsid w:val="00D31C3F"/>
    <w:rsid w:val="00D475FC"/>
    <w:rsid w:val="00D62CD3"/>
    <w:rsid w:val="00D72439"/>
    <w:rsid w:val="00D76683"/>
    <w:rsid w:val="00D8761D"/>
    <w:rsid w:val="00DB2F6D"/>
    <w:rsid w:val="00DB5E3D"/>
    <w:rsid w:val="00DC1111"/>
    <w:rsid w:val="00DC23B6"/>
    <w:rsid w:val="00DC73CC"/>
    <w:rsid w:val="00DD0B4B"/>
    <w:rsid w:val="00DE097A"/>
    <w:rsid w:val="00DE5C74"/>
    <w:rsid w:val="00DE5D9A"/>
    <w:rsid w:val="00DF35DD"/>
    <w:rsid w:val="00DF36D3"/>
    <w:rsid w:val="00E053B8"/>
    <w:rsid w:val="00E15691"/>
    <w:rsid w:val="00E22CF6"/>
    <w:rsid w:val="00E30732"/>
    <w:rsid w:val="00E533B0"/>
    <w:rsid w:val="00E57FA2"/>
    <w:rsid w:val="00E6166E"/>
    <w:rsid w:val="00E7781B"/>
    <w:rsid w:val="00E87750"/>
    <w:rsid w:val="00E901EE"/>
    <w:rsid w:val="00E902A4"/>
    <w:rsid w:val="00E959CF"/>
    <w:rsid w:val="00E95B8C"/>
    <w:rsid w:val="00EA5B6E"/>
    <w:rsid w:val="00EA6471"/>
    <w:rsid w:val="00EA71BA"/>
    <w:rsid w:val="00EB1844"/>
    <w:rsid w:val="00EB328E"/>
    <w:rsid w:val="00EC74EB"/>
    <w:rsid w:val="00ED0EA3"/>
    <w:rsid w:val="00ED275B"/>
    <w:rsid w:val="00ED7979"/>
    <w:rsid w:val="00EF3CFC"/>
    <w:rsid w:val="00F1004C"/>
    <w:rsid w:val="00F12BB4"/>
    <w:rsid w:val="00F1541F"/>
    <w:rsid w:val="00F206DF"/>
    <w:rsid w:val="00F231F0"/>
    <w:rsid w:val="00F23B6C"/>
    <w:rsid w:val="00F32650"/>
    <w:rsid w:val="00F34A34"/>
    <w:rsid w:val="00F53A8C"/>
    <w:rsid w:val="00F56884"/>
    <w:rsid w:val="00F57CDD"/>
    <w:rsid w:val="00F60882"/>
    <w:rsid w:val="00F64AB6"/>
    <w:rsid w:val="00F7390E"/>
    <w:rsid w:val="00F73D25"/>
    <w:rsid w:val="00F90CB1"/>
    <w:rsid w:val="00FA0A9E"/>
    <w:rsid w:val="00FB1BC9"/>
    <w:rsid w:val="00FB1CC8"/>
    <w:rsid w:val="00FB26D4"/>
    <w:rsid w:val="00FB3480"/>
    <w:rsid w:val="00FE5B84"/>
    <w:rsid w:val="00FF14ED"/>
    <w:rsid w:val="00FF3417"/>
    <w:rsid w:val="00FF343B"/>
    <w:rsid w:val="00FF3A47"/>
    <w:rsid w:val="00FF3B48"/>
    <w:rsid w:val="00FF5E99"/>
    <w:rsid w:val="00FF76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98B59"/>
  <w15:chartTrackingRefBased/>
  <w15:docId w15:val="{49402D15-ED0D-4D23-9759-FB45598E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5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1580"/>
  </w:style>
  <w:style w:type="paragraph" w:styleId="Footer">
    <w:name w:val="footer"/>
    <w:basedOn w:val="Normal"/>
    <w:link w:val="FooterChar"/>
    <w:uiPriority w:val="99"/>
    <w:unhideWhenUsed/>
    <w:rsid w:val="009A15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1580"/>
  </w:style>
  <w:style w:type="paragraph" w:styleId="FootnoteText">
    <w:name w:val="footnote text"/>
    <w:basedOn w:val="Normal"/>
    <w:link w:val="FootnoteTextChar"/>
    <w:uiPriority w:val="99"/>
    <w:unhideWhenUsed/>
    <w:rsid w:val="00D11D31"/>
    <w:pPr>
      <w:spacing w:after="0" w:line="240" w:lineRule="auto"/>
    </w:pPr>
    <w:rPr>
      <w:sz w:val="20"/>
      <w:szCs w:val="20"/>
    </w:rPr>
  </w:style>
  <w:style w:type="character" w:customStyle="1" w:styleId="FootnoteTextChar">
    <w:name w:val="Footnote Text Char"/>
    <w:basedOn w:val="DefaultParagraphFont"/>
    <w:link w:val="FootnoteText"/>
    <w:uiPriority w:val="99"/>
    <w:rsid w:val="00D11D31"/>
    <w:rPr>
      <w:sz w:val="20"/>
      <w:szCs w:val="20"/>
    </w:rPr>
  </w:style>
  <w:style w:type="character" w:styleId="FootnoteReference">
    <w:name w:val="footnote reference"/>
    <w:basedOn w:val="DefaultParagraphFont"/>
    <w:uiPriority w:val="99"/>
    <w:unhideWhenUsed/>
    <w:rsid w:val="00D11D31"/>
    <w:rPr>
      <w:vertAlign w:val="superscript"/>
    </w:rPr>
  </w:style>
  <w:style w:type="character" w:styleId="Hyperlink">
    <w:name w:val="Hyperlink"/>
    <w:basedOn w:val="DefaultParagraphFont"/>
    <w:uiPriority w:val="99"/>
    <w:unhideWhenUsed/>
    <w:rsid w:val="006C194D"/>
    <w:rPr>
      <w:color w:val="0563C1" w:themeColor="hyperlink"/>
      <w:u w:val="single"/>
    </w:rPr>
  </w:style>
  <w:style w:type="character" w:styleId="UnresolvedMention">
    <w:name w:val="Unresolved Mention"/>
    <w:basedOn w:val="DefaultParagraphFont"/>
    <w:uiPriority w:val="99"/>
    <w:semiHidden/>
    <w:unhideWhenUsed/>
    <w:rsid w:val="006C194D"/>
    <w:rPr>
      <w:color w:val="605E5C"/>
      <w:shd w:val="clear" w:color="auto" w:fill="E1DFDD"/>
    </w:rPr>
  </w:style>
  <w:style w:type="paragraph" w:styleId="ListParagraph">
    <w:name w:val="List Paragraph"/>
    <w:basedOn w:val="Normal"/>
    <w:uiPriority w:val="34"/>
    <w:qFormat/>
    <w:rsid w:val="006C194D"/>
    <w:pPr>
      <w:ind w:left="720"/>
      <w:contextualSpacing/>
    </w:pPr>
  </w:style>
  <w:style w:type="paragraph" w:customStyle="1" w:styleId="Default">
    <w:name w:val="Default"/>
    <w:rsid w:val="008F7F04"/>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277F57"/>
    <w:pPr>
      <w:spacing w:after="0" w:line="240" w:lineRule="auto"/>
    </w:pPr>
  </w:style>
  <w:style w:type="character" w:styleId="CommentReference">
    <w:name w:val="annotation reference"/>
    <w:basedOn w:val="DefaultParagraphFont"/>
    <w:uiPriority w:val="99"/>
    <w:semiHidden/>
    <w:unhideWhenUsed/>
    <w:rsid w:val="002E2CBB"/>
    <w:rPr>
      <w:sz w:val="16"/>
      <w:szCs w:val="16"/>
    </w:rPr>
  </w:style>
  <w:style w:type="paragraph" w:styleId="CommentText">
    <w:name w:val="annotation text"/>
    <w:basedOn w:val="Normal"/>
    <w:link w:val="CommentTextChar"/>
    <w:uiPriority w:val="99"/>
    <w:unhideWhenUsed/>
    <w:rsid w:val="002E2CBB"/>
    <w:pPr>
      <w:spacing w:line="240" w:lineRule="auto"/>
    </w:pPr>
    <w:rPr>
      <w:sz w:val="20"/>
      <w:szCs w:val="20"/>
    </w:rPr>
  </w:style>
  <w:style w:type="character" w:customStyle="1" w:styleId="CommentTextChar">
    <w:name w:val="Comment Text Char"/>
    <w:basedOn w:val="DefaultParagraphFont"/>
    <w:link w:val="CommentText"/>
    <w:uiPriority w:val="99"/>
    <w:rsid w:val="002E2CBB"/>
    <w:rPr>
      <w:sz w:val="20"/>
      <w:szCs w:val="20"/>
    </w:rPr>
  </w:style>
  <w:style w:type="paragraph" w:styleId="CommentSubject">
    <w:name w:val="annotation subject"/>
    <w:basedOn w:val="CommentText"/>
    <w:next w:val="CommentText"/>
    <w:link w:val="CommentSubjectChar"/>
    <w:uiPriority w:val="99"/>
    <w:semiHidden/>
    <w:unhideWhenUsed/>
    <w:rsid w:val="002E2CBB"/>
    <w:rPr>
      <w:b/>
      <w:bCs/>
    </w:rPr>
  </w:style>
  <w:style w:type="character" w:customStyle="1" w:styleId="CommentSubjectChar">
    <w:name w:val="Comment Subject Char"/>
    <w:basedOn w:val="CommentTextChar"/>
    <w:link w:val="CommentSubject"/>
    <w:uiPriority w:val="99"/>
    <w:semiHidden/>
    <w:rsid w:val="002E2CBB"/>
    <w:rPr>
      <w:b/>
      <w:bCs/>
      <w:sz w:val="20"/>
      <w:szCs w:val="20"/>
    </w:rPr>
  </w:style>
  <w:style w:type="paragraph" w:styleId="NormalWeb">
    <w:name w:val="Normal (Web)"/>
    <w:basedOn w:val="Normal"/>
    <w:uiPriority w:val="99"/>
    <w:semiHidden/>
    <w:unhideWhenUsed/>
    <w:rsid w:val="003E08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0346">
      <w:bodyDiv w:val="1"/>
      <w:marLeft w:val="0"/>
      <w:marRight w:val="0"/>
      <w:marTop w:val="0"/>
      <w:marBottom w:val="0"/>
      <w:divBdr>
        <w:top w:val="none" w:sz="0" w:space="0" w:color="auto"/>
        <w:left w:val="none" w:sz="0" w:space="0" w:color="auto"/>
        <w:bottom w:val="none" w:sz="0" w:space="0" w:color="auto"/>
        <w:right w:val="none" w:sz="0" w:space="0" w:color="auto"/>
      </w:divBdr>
    </w:div>
    <w:div w:id="579565451">
      <w:bodyDiv w:val="1"/>
      <w:marLeft w:val="0"/>
      <w:marRight w:val="0"/>
      <w:marTop w:val="0"/>
      <w:marBottom w:val="0"/>
      <w:divBdr>
        <w:top w:val="none" w:sz="0" w:space="0" w:color="auto"/>
        <w:left w:val="none" w:sz="0" w:space="0" w:color="auto"/>
        <w:bottom w:val="none" w:sz="0" w:space="0" w:color="auto"/>
        <w:right w:val="none" w:sz="0" w:space="0" w:color="auto"/>
      </w:divBdr>
    </w:div>
    <w:div w:id="1572696158">
      <w:bodyDiv w:val="1"/>
      <w:marLeft w:val="0"/>
      <w:marRight w:val="0"/>
      <w:marTop w:val="0"/>
      <w:marBottom w:val="0"/>
      <w:divBdr>
        <w:top w:val="none" w:sz="0" w:space="0" w:color="auto"/>
        <w:left w:val="none" w:sz="0" w:space="0" w:color="auto"/>
        <w:bottom w:val="none" w:sz="0" w:space="0" w:color="auto"/>
        <w:right w:val="none" w:sz="0" w:space="0" w:color="auto"/>
      </w:divBdr>
    </w:div>
    <w:div w:id="1973712183">
      <w:bodyDiv w:val="1"/>
      <w:marLeft w:val="0"/>
      <w:marRight w:val="0"/>
      <w:marTop w:val="0"/>
      <w:marBottom w:val="0"/>
      <w:divBdr>
        <w:top w:val="none" w:sz="0" w:space="0" w:color="auto"/>
        <w:left w:val="none" w:sz="0" w:space="0" w:color="auto"/>
        <w:bottom w:val="none" w:sz="0" w:space="0" w:color="auto"/>
        <w:right w:val="none" w:sz="0" w:space="0" w:color="auto"/>
      </w:divBdr>
    </w:div>
    <w:div w:id="1981573513">
      <w:bodyDiv w:val="1"/>
      <w:marLeft w:val="0"/>
      <w:marRight w:val="0"/>
      <w:marTop w:val="0"/>
      <w:marBottom w:val="0"/>
      <w:divBdr>
        <w:top w:val="none" w:sz="0" w:space="0" w:color="auto"/>
        <w:left w:val="none" w:sz="0" w:space="0" w:color="auto"/>
        <w:bottom w:val="none" w:sz="0" w:space="0" w:color="auto"/>
        <w:right w:val="none" w:sz="0" w:space="0" w:color="auto"/>
      </w:divBdr>
    </w:div>
    <w:div w:id="21404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about.vanguard.com/investment-stewardsh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northerntrust.com/united-kingdom/what-we-do/investment-management/stewardsh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b.com/pages/public/global/esg-investing.aspx"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mandgplc.com/~/media/Files/M/MandG-Plc/documents/responsible-investing/stewardship/mg-investments-annual-stewardship-report-2021.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ssgovernance.com/file/policy/active/specialty/SRI-International-Voting-Guidelines.pdf?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blackrock.com/corporate/about-us/investment-stewardship"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magroup.org/sustainable-finance/the-principles-guidelines-and-handbooks/green-bond-principles-gbp/"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gif@01CE060E.0D0E68C0" TargetMode="External"/><Relationship Id="rId2" Type="http://schemas.openxmlformats.org/officeDocument/2006/relationships/image" Target="media/image11.png"/><Relationship Id="rId1" Type="http://schemas.openxmlformats.org/officeDocument/2006/relationships/hyperlink" Target="http://www.pensioenfondstno.nl/Default.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fa625c-95e7-4d56-8834-cc2bf30d7c1e">
      <Terms xmlns="http://schemas.microsoft.com/office/infopath/2007/PartnerControls"/>
    </lcf76f155ced4ddcb4097134ff3c332f>
    <TaxCatchAll xmlns="711c86fb-bfb6-44db-9078-5a9371bbd6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1AB5923DD38C498DF2AF81924B2C08" ma:contentTypeVersion="16" ma:contentTypeDescription="Een nieuw document maken." ma:contentTypeScope="" ma:versionID="8a35e745a210877bd83fd2b271d1c884">
  <xsd:schema xmlns:xsd="http://www.w3.org/2001/XMLSchema" xmlns:xs="http://www.w3.org/2001/XMLSchema" xmlns:p="http://schemas.microsoft.com/office/2006/metadata/properties" xmlns:ns2="9afa625c-95e7-4d56-8834-cc2bf30d7c1e" xmlns:ns3="711c86fb-bfb6-44db-9078-5a9371bbd6e5" targetNamespace="http://schemas.microsoft.com/office/2006/metadata/properties" ma:root="true" ma:fieldsID="1235cd373075700698e2cc4a1853363e" ns2:_="" ns3:_="">
    <xsd:import namespace="9afa625c-95e7-4d56-8834-cc2bf30d7c1e"/>
    <xsd:import namespace="711c86fb-bfb6-44db-9078-5a9371bb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a625c-95e7-4d56-8834-cc2bf30d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08193d1-4729-411b-9bd8-f1bc5006b7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86fb-bfb6-44db-9078-5a9371bbd6e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f9e414f-19d2-41f6-815d-474348a46f2a}" ma:internalName="TaxCatchAll" ma:showField="CatchAllData" ma:web="711c86fb-bfb6-44db-9078-5a9371bb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E3432-5E01-4F51-BCD2-268BDBA7D858}">
  <ds:schemaRefs>
    <ds:schemaRef ds:uri="http://schemas.microsoft.com/office/2006/metadata/properties"/>
    <ds:schemaRef ds:uri="http://schemas.microsoft.com/office/infopath/2007/PartnerControls"/>
    <ds:schemaRef ds:uri="d4558af6-e9d3-4131-af8c-dac54300cf9c"/>
  </ds:schemaRefs>
</ds:datastoreItem>
</file>

<file path=customXml/itemProps2.xml><?xml version="1.0" encoding="utf-8"?>
<ds:datastoreItem xmlns:ds="http://schemas.openxmlformats.org/officeDocument/2006/customXml" ds:itemID="{5DAC9131-57DE-487D-B903-02A2EB614018}">
  <ds:schemaRefs>
    <ds:schemaRef ds:uri="http://schemas.openxmlformats.org/officeDocument/2006/bibliography"/>
  </ds:schemaRefs>
</ds:datastoreItem>
</file>

<file path=customXml/itemProps3.xml><?xml version="1.0" encoding="utf-8"?>
<ds:datastoreItem xmlns:ds="http://schemas.openxmlformats.org/officeDocument/2006/customXml" ds:itemID="{8D5A66FF-3BD0-4C26-B2A1-CDEB12C04217}"/>
</file>

<file path=customXml/itemProps4.xml><?xml version="1.0" encoding="utf-8"?>
<ds:datastoreItem xmlns:ds="http://schemas.openxmlformats.org/officeDocument/2006/customXml" ds:itemID="{5E11B970-AA51-4E66-98C6-398296135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2104</Words>
  <Characters>11993</Characters>
  <Application>Microsoft Office Word</Application>
  <DocSecurity>0</DocSecurity>
  <Lines>99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(Hans) Groenewegen</dc:creator>
  <cp:keywords/>
  <dc:description/>
  <cp:lastModifiedBy>R. (Ruud) van Suijdam</cp:lastModifiedBy>
  <cp:revision>9</cp:revision>
  <cp:lastPrinted>2025-08-11T13:35:00Z</cp:lastPrinted>
  <dcterms:created xsi:type="dcterms:W3CDTF">2026-01-29T12:35:00Z</dcterms:created>
  <dcterms:modified xsi:type="dcterms:W3CDTF">2026-02-12T07:31:00Z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0x010100361AB5923DD38C498DF2AF81924B2C08</vt:lpwstr>
  </property>
</Properties>
</file>